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разъясняет порядок формирования лотов на торгах по организации пассажирских перевозок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октября 2020, 15:07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Ведомство подготовило критерии, при использовании которых на таких закупках не будет ограничиваться конкуренция и количество участников торгов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связи с высокой социальной значимостью торгов по организации регулярных пассажирских перевозок и в целях создания единой практики организации и контроля таких закупок ФАС России подготовила разъяснения о формировании требований к лотам при осуществлении пассажирских перевозок.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«Заказчики при проведении торгов на организацию пассажирских перевозок смогут точно знать, в каких случаях их действия не смогут признаваться нарушающими законодательство о контрактной системе или Закон о защите конкуренции в части требований по формированию лотов, что даст им понимание требований ФАС по этому вопросу и определённость в работе. Без такой определённости заказчикам было сложно качественно выстраивать свою работу</w:t>
      </w:r>
      <w:r>
        <w:t xml:space="preserve">», - отметил заместитель руководителя Федеральной антимонопольной службы Михаил Евраев.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Минимальное количество лотов и максимальный размер обеспечения контракта формируется исходя из численности населения территории, по которой проходит муниципальный / межмуниципальный маршрут.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pPr>
              <w:jc w:val="center"/>
            </w:pPr>
            <w:r>
              <w:t xml:space="preserve">Численность населения муниципального образования (МО) / общая численность МО, по которым проходит межмуниципальный маршрут</w:t>
            </w:r>
          </w:p>
        </w:tc>
        <w:tc>
          <w:tcPr/>
          <w:p>
            <w:pPr>
              <w:jc w:val="center"/>
            </w:pPr>
            <w:r>
              <w:t xml:space="preserve">Минимальное количество лотов при организации регулярных перевозок</w:t>
            </w:r>
          </w:p>
        </w:tc>
        <w:tc>
          <w:tcPr/>
          <w:p>
            <w:pPr>
              <w:jc w:val="center"/>
            </w:pPr>
            <w:r>
              <w:t xml:space="preserve">Максимальный размер обеспечения исполнения контракта</w:t>
            </w:r>
          </w:p>
        </w:tc>
      </w:tr>
      <w:tr>
        <w:tc>
          <w:tcPr/>
          <w:p>
            <w:r>
              <w:t xml:space="preserve">До 50 тысяч человек</w:t>
            </w:r>
          </w:p>
        </w:tc>
        <w:tc>
          <w:tcPr/>
          <w:p>
            <w:pPr>
              <w:jc w:val="center"/>
            </w:pPr>
            <w:r>
              <w:t xml:space="preserve">10 лотов</w:t>
            </w:r>
          </w:p>
        </w:tc>
        <w:tc>
          <w:tcPr/>
          <w:p>
            <w:pPr>
              <w:jc w:val="center"/>
            </w:pPr>
            <w:r>
              <w:t xml:space="preserve">100 млн руб.</w:t>
            </w:r>
          </w:p>
        </w:tc>
      </w:tr>
      <w:tr>
        <w:tc>
          <w:tcPr/>
          <w:p>
            <w:r>
              <w:t xml:space="preserve">От 50 до 150 тысяч человек</w:t>
            </w:r>
          </w:p>
        </w:tc>
        <w:tc>
          <w:tcPr/>
          <w:p>
            <w:pPr>
              <w:jc w:val="center"/>
            </w:pPr>
            <w:r>
              <w:t xml:space="preserve">15 лотов</w:t>
            </w:r>
          </w:p>
        </w:tc>
        <w:tc>
          <w:tcPr/>
          <w:p>
            <w:pPr>
              <w:jc w:val="center"/>
            </w:pPr>
            <w:r>
              <w:t xml:space="preserve">200 млн руб.</w:t>
            </w:r>
          </w:p>
        </w:tc>
      </w:tr>
      <w:tr>
        <w:tc>
          <w:tcPr/>
          <w:p>
            <w:r>
              <w:t xml:space="preserve">От 150 тысяч до 1 млн человек </w:t>
            </w:r>
          </w:p>
        </w:tc>
        <w:tc>
          <w:tcPr/>
          <w:p>
            <w:pPr>
              <w:jc w:val="center"/>
            </w:pPr>
            <w:r>
              <w:t xml:space="preserve">20 лотов</w:t>
            </w:r>
          </w:p>
        </w:tc>
        <w:tc>
          <w:tcPr/>
          <w:p>
            <w:pPr>
              <w:jc w:val="center"/>
            </w:pPr>
            <w:r>
              <w:t xml:space="preserve">300 млн руб.</w:t>
            </w:r>
          </w:p>
        </w:tc>
      </w:tr>
      <w:tr>
        <w:tc>
          <w:tcPr/>
          <w:p>
            <w:r>
              <w:t xml:space="preserve">Свыше 1 млн человек</w:t>
            </w:r>
          </w:p>
        </w:tc>
        <w:tc>
          <w:tcPr/>
          <w:p>
            <w:pPr>
              <w:jc w:val="center"/>
            </w:pPr>
            <w:r>
              <w:t xml:space="preserve">30 лотов</w:t>
            </w:r>
          </w:p>
        </w:tc>
        <w:tc>
          <w:tcPr/>
          <w:p>
            <w:pPr>
              <w:jc w:val="center"/>
            </w:pPr>
            <w:r>
              <w:t xml:space="preserve">500 млн руб.</w:t>
            </w:r>
          </w:p>
        </w:tc>
      </w:tr>
      <w:tr>
        <w:tc>
          <w:tcPr/>
          <w:p>
            <w:r>
              <w:t xml:space="preserve">Города федерального значения Москва и Санкт-Петербург</w:t>
            </w:r>
          </w:p>
        </w:tc>
        <w:tc>
          <w:tcPr/>
          <w:p>
            <w:pPr>
              <w:jc w:val="center"/>
            </w:pPr>
            <w:r>
              <w:t xml:space="preserve">50 лотов</w:t>
            </w:r>
          </w:p>
        </w:tc>
        <w:tc>
          <w:tcPr/>
          <w:p>
            <w:pPr>
              <w:jc w:val="center"/>
            </w:pPr>
            <w:r>
              <w:t xml:space="preserve">500 млн руб.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Перевозки по смежным межрегиональным маршрутам должны быть разделены не менее чем на 5 лотов, обеспечение исполнения контракта - не превышать 300 млн рублей, а срок исполнения обязательств по контракту составлять не более 10 лет.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Если заказчик не может сформировать минимально необходимое количество лотов с учетом этих критериев и при этом он уверен, что не допускается ограничение количества участников, то он может обратиться за консультацией в соответствующий территориальный орган ФАС России для принятия итогового решения»</w:t>
      </w:r>
      <w:r>
        <w:t xml:space="preserve">, - отметил Михаил Евраев.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Полный текст разъяснений о формировании лотов при организации пассажирских перевозок доступен </w:t>
      </w:r>
      <w:r>
        <w:t xml:space="preserve">по ссылке</w:t>
      </w:r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