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Дарья Старых: необходимо интегрировать систему регулирования цен на имплантируемые медизделия с каталогом товаров, работ и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2020,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заместитель начальника Управления контроля здравоохранения ФАС России на XXII ежегодной Всероссийской конференции «ФармМедОбращение 2020»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рассказала участникам сессии «Государственное регулирование ценообразования на лекарственные препараты и медицинские изделия. Современные требования и пути совершенствования» о перспективах совершенствования тарифного регулирования на имплантируемые медицинские изделия (ИМИ).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изначальной цели регулирования цен на ИМИ, Дарья Старых отметила, что «она заключалась в недопущении безосновательных скачков цен, а также необходимости выравнивания цен на схожие имплантируемые медицинские изделия по всей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Существенным шагом стало внедрение для обязательного использования заказчиками при проведении госзакупок ИМИ каталога товаров, работ и услуг (КТРУ). Более того, коды КТРУ определили группы взаимозаменяемых товаров разных производителей и поставщиков, так как учитывают потребительские свойства и иные необходимые характеристики ИМИ. В то же время, коды КТРУ неравны видам имплантируемых медицинских изделий: они могут, как объединять несколько видов, так и разделять один вид на несколько кодов.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Поэтому предмет ценового регулирования и коды КТРУ стали не взаимосвязанными между собой. Если это описать на примере лекарственных препаратов, то это тоже самое, если бы мы регулировали цены на анатомо-терапевтическо-химическую классификацию, а закупки осуществляли по международному непатентованному наименованию,</w:t>
      </w:r>
      <w:r>
        <w:t xml:space="preserve"> - поясняет Дарья Старых. </w:t>
      </w:r>
      <w:r>
        <w:rPr>
          <w:i/>
        </w:rPr>
        <w:t xml:space="preserve">– Сейчас мы совместно с Минздравом России и с Росздравнадзором проводим рабочие группы, чтобы достичь главную цель – интегрировать систему регулирования цен с использованием КТРУ. Для этого нам необходимо понять, какие поправки необходимо внести в законодательство, чтобы не допустить необоснованного роста цен на имплантируемые медицинские изделия, но в то же время не создать риск дефицита тех изделий, на которые уже установлены цены»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