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занимает активную позицию в борьбе с трансграничными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2020,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повышения эффективности этой борьбы обсудили участники заседания Координационного комитета БРИКС по антимонопольной политике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ноября 2020 года в формате видеоконференцсвязи состоялось заседание Координационного комитета БРИКС по антимонопольной политике.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показывает практика, страны-участницы БРИКС все чаще сталкиваются с трансграничными картелями, организуемыми крупными международными компаниями, что приводит к завышению цен на товары и услуги и ущемлению конкурентоспособности национальных поставщиков. Учитывая, что в странах БРИКС проживает около 40% населения планеты, издержки «хищнического» поведения картелей колоссальны и имеют макроэкономическое значение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Эксперты отмечают, что в среднем наценка товаров и услуг от деятельности национальных картелей составляет около 18,8 %, при том как наценка товаров и услуг от деятельности международных картелей существенно выше и составляет около 31%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Россия оценивает ущерб от картелей для своей национальной экономики около 2% ВВП.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национальном уровне антимонопольные органы БРИКС разрабатывают набор правовых и следственных инструментов, предназначенных для выявления трансграничных картелей и устранения их негативных последствий для национальных экономик. Одним из таких инструментов является политика смягчения ответственности (leniency). Большинство крупных международных картелей было раскрыто именно с помощью этого механизма.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«Конкурентные ведомства БРИКС не должны оставаться в стороне. Антимонопольные регуляторы должны мотивировать участников картеля к его раскрытию посредством программы смягчения ответственности в нескольких или всех странах БРИКС»,</w:t>
      </w:r>
      <w:r>
        <w:t xml:space="preserve"> - заявил статс-секретарь –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просил поддержать инициативу ФАС России по разработке совместного документа конкурентных ведомств БРИКС по программам смягчения ответственности. Его цель - повысить информационную прозрачность, изложить четкие и предсказуемые процедуры предоставления программ смягчения ответственности в странах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считает начальник Управления по борьбе с картелями ФАС России Андрей Тенишев, </w:t>
      </w:r>
      <w:r>
        <w:rPr>
          <w:i/>
        </w:rPr>
        <w:t xml:space="preserve">«создание такого документа повысит уровень доверия между конкурентными ведомствами и потенциальными заявителями, сблизит правоприменительную практику и методологию, будет мотивировать участников трансграничного картеля подавать заявление о смягчении ответственности в один или несколько антимонопольных регуляторов».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Активное участие ФАС России в борьбе с трансграничными картелями выразилось также в разработке международной Конвенции «О борьбе с картелями». Заявление глав правительств государств-участников СНГ о консолидации усилий мирового сообщества для эффективного противодействия международным картелям принято в качестве официального документа 72-й сессии Генеральной Ассамблеи ООН.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[photo_1709]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по инициативе ФАС России при поддержке ко-спонсоров из 26 стран в Резолюцию 8-й Конференции ООН по конкуренции в качестве одной из четырех приоритетных областей работы ЮНКТАД на ближайшие пять лет включена тема борьбы с трансграничными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«Международные картели – это наше общее зло. Поэтому мы активно включаемся в работу, как по разработке документов, которые будут способствовать повышению эффективности в борьбе с трансграничными картелями, так и в обсуждении общих тем, вопросов, выдвижении идей и полезных инициатив»</w:t>
      </w:r>
      <w:r>
        <w:t xml:space="preserve">, - считает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конкурентными ведомствами Франции и Италии является сопредседателем Рабочей группы по картелям Международной конкурентной сети (ICN). В организацию входят конкурентные ведомства 130 стран мира. Российский антимонопольный орган играет значимую роль в практической работе и повестке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участвует в рабочей группе ЮНКТАД и БРИКС по трансграничным картелями, которые были созданы с целью анализа общих практик, аккумулирования передового опыта, упрощения обмена информацией и проведения консультаций.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реализуется практическое сотрудничество рамках ОЭСР, ЕАЭС, МСАП, двухсторонних соглашений с отдельными странами в целях сближения правоприменительной практики и методологии при расследовании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«Российский практический опыт борьбы с картелями признан успешным и используется другими странами, особенно в части борьбы со сговорами на торгах. У нас есть свои программные разработки, есть хороший практический опыт. Сейчас уже можно с уверенностью сказать, что в деле борьбы с транснациональными картелями нам есть что сказать и чем поделиться с зарубежными коллегами», </w:t>
      </w:r>
      <w:r>
        <w:t xml:space="preserve">- подчеркнул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ОЭСР, картели способствуют росту цен на товары и услуги в странах ОЭСР около 10-15 %// Guide for helping competition authorities assess the expected impact of their activities. OECD. April 2014, p.6.;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Максимально установленная наценка на товары и услуги составила – 49%. См более подробно. СМ. Connor J.M. Price-Fixing overcharges. 3rd Edition. Washington, 2014. Анализ более 700 опубликованных экономических исследований и судебных решений, содержащих 2041 оценку завышения цен картелями.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