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в отношении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2021,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антимонопольное законодательство и злоупотребила доминирующим положением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поддержал позицию антимонопольной службы в отношении ОАО «РЖД». Как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выяснила ФАС России
        </w:t>
        </w:r>
      </w:hyperlink>
      <w:r>
        <w:t xml:space="preserve">, организация установила монопольно высокую цену на тепловую энергию, злоупотребив доминирующим положением и нарушив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фиктивно завышала затраты на производство тепловой энергии при неизменности конъюнктуры рынка, объема выработки пара, состава продавцов и покупателей. Ранее позицию ведомства в отношении действий компании поддержали суды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апелляционной
        </w:t>
        </w:r>
      </w:hyperlink>
      <w:r>
        <w:t xml:space="preserve"> инстанций.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Задуманный законодателем механизм дерегулирования позволил многим контрагентам формировать проактивную цену на тепловую энергию, выгодную обеим сторонам договора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мнению ФАС России, недопустимо чтобы свободное ценообразование для недобросовестных участников рынка превратилось в возможность предикативного доминирования рыночной властью за счет установления либо навязывания необоснованно высокой цены на пар контрагентам, из-за чего покупатели лишались возможности обеспечивать необходимый уровень рентабельности в своем производственном процессе.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Ведомство, с учетом сформированной практики и в дальнейшем будет активно применять механизмы антимонопольного реагирования в случае выявления подобных прецедентов со стороны продавца, занимающего доминирующее положение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установила факт нарушения антимонопольного законодательства со стороны ОАО «РЖД» после рассмотрения заявления ООО «Риквэст-Сервис» на действия компании. Организация в одностороннем порядке необоснованно повысила цену на тепловую энергию в виде пара, которую для «Риквэст-Сервис» поставляет находящаяся на балансе «РЖД» котельная в г. Самара.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января 2019 года законодательством предусмотрена полная либерализация отношений между производителями тепла и потребителями (бизнесом). В соответствии с ней цена на тепловую энергию является существенным условием договора и определяется по соглашению сторон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176" TargetMode="External" Id="rId8"/>
  <Relationship Type="http://schemas.openxmlformats.org/officeDocument/2006/relationships/hyperlink" Target="https://fas.gov.ru/news/30427" TargetMode="External" Id="rId9"/>
  <Relationship Type="http://schemas.openxmlformats.org/officeDocument/2006/relationships/hyperlink" Target="https://fas.gov.ru/news/31066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