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направила ценовые запросы в средства размещения на курортах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19 апреля 2021, 15:58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Об этом заявил заместитель руководителя ФАС России Тимофей Нижегородцев на совещании Комитета Совета Федерации по социальной политике «О росте цен в средствах размещения в Российской Федерации и принимаемых мерах по недопущению их необоснованного завышения»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сравнит динамику роста цен на гостиничные услуги на курортах России в 2018 – 2021 годы. Этот анализ позволит определить насколько наблюдаемый сегодня рост, связанный с сезонностью, глобальной эпидемией коронавирусной инфекции и закрытием границ, отличается от обычных перепадов цен на рынке в доковидный период, и сделать вывод, насколько этот рост укладывается в обычные значения для рынка.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Отраслевой особенностью рынка туристских услуг является сезонность, которая запускает «качели», связанные с периодическим повышением и снижением цен на гостиничные услуги. На стоимость гостиничных услуг также влияет и заблаговременность бронирования мест в средствах размещения. То есть, колебание цен на места в средствах размещения является нормой для этого рынка.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Цены на гостиничные услуги формируются рыночным способом в результате достижения баланса спроса и предложения. Поэтому, рост цен на гостиничные услуги на территории России может быть связан, прежде всего, с сокращением возможностей для выездного туризма, а также отсутствием возможности у средств размещения удовлетворить внезапно возросший спрос на внутреннем рынке в высокий сезон.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совместно с Ростуризмом приступили к разработке мер, направленных на пресечение возможных недобросовестных практик, например, связанных с односторонней отменой брони номера или тура с целью его перепродажи по более высоким ценам в случае роста спроса.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При этом ФАС России отмечает, что рынок гостиничных услуг является конкурентным. На этом рынке нет хозяйствующих субъектов, которые бы занимали доминирующее положение и могли бы им злоупотреблять, устанавливая монопольно высокие цены. Также пока не выявлены факты координации и запрещенных законом соглашений об установлении или поддержании цен.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антимонопольное ведомство предлагает рассмотреть возможность открытия для турпотока наиболее доступных по цене внешних туристических направлений с низким уровнем заболеваемости коронавирусной инфекцией.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