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выдаст предписание органу регулирования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установила, что орган не проанализировал должным образом фактические расходы на транспортировку ТКО при установлении соответствующих тарифов на 2</w:t>
      </w:r>
      <w:r>
        <w:t xml:space="preserve">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дело о нарушении тарифного законодательства при установлении единых тарифов на услугу регионального оператора по обращению с твердыми коммунальными отходами (ТКО) ООО «Магнит» на территории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стали обращения граждан, общественных объединений, коммерческих организаций Омской области, а также проверка прокуратуры региона в отношении компании «Магнит» из-за резкого роста единых тарифов на услугу регионального оператора по обращению с ТКО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орган регулирования не проанализировал должным образом фактические расходы на транспортировку ТКО в 2019 году. А это, в свою очередь, могло повлиять на правильность корректировки единых тарифов на услугу регионального оператора по обращению с ТКО, установленных для компании «Магнит» на 2021 год и привести к их завышению.</w:t>
      </w:r>
      <w:r>
        <w:br/>
      </w:r>
      <w:r>
        <w:t xml:space="preserve">
Комиссия приняла решение выдать региональному органу регулирования обязательное для исполнения предписание заново провести анализ фактических расходов на транспортировку ТКО в 2019 году, используемых при установлении тарифов на услугу по обращению с ТКО для компании «Магнит» в 2021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Напомним, что в декабре 2019 года плата граждан за услугу по обращению с ТКО в среднем по стране уменьшилась на 3,84 % по сравнению с июлем этого же года, а в декабре 2020 года размер снижения составил 4,3 % по сравнению с декабрем 2019 года. В мае же 2021 года размер платы граждан в среднем по стране за услугу по обращению с ТКО в среднем остался неизменным по сравнению с декабрем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