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 Антимонопольное регулирование в цифровой экономике и защита интеллектуальных прав в фокусе Петербургского международного юридического форума 9 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2021,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Заместители руководителя антимонопольной службы Сергей Пузыревский и Тимофей Нижегородцев выступили модераторами сессий, посвященных антимонопольному регулированию цифровых гигантов и защите патентных прав в кризисных обстоятельствах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«Антимонопольное регулирование в цифровой экономике» отметили, что стремительный рост цифровой экономики, появление в IT-секторе глобальных лидеров ставит новые задачи перед антимонопольными ведомствами во всем мире. Риски цифровизации заключаются в том числе в возможной монополизации глобальных товарных рынков, что приводит не только к неравной конкуренции между компаниями на рынке, но и к прямому ущербу для потребителей.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последнее время мы видим, что как за рубежом, так и в России происходит изменение в структуре антимонопольных дел. Растет количество дел в отношении крупнейших IT-компаний и заметно, что традиционных методов антимонопольного регулирования становится недостаточно. В ответ на озвученные вызовы законодатели во всем мире разрабатывают правилами и требованиями к цифровым платформам. Российское антимонопольное ведомство подготовило предложения по внесению изменений в Закон о защите конкуренции и КоАП РФ, которые получили название «пятый антимонопольный пакет».  В рамках этого пакета ФАС России предлагает запретить различные формы злоупотреблений со стороны цифровых гигантов, что будет способствовать росту конкуренции и более эффективному развитию экономик в интересах всего общества»,</w:t>
      </w:r>
      <w:r>
        <w:t xml:space="preserve"> 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сессии «Антимонопольное регулирование и защита патентных прав в кризисных обстоятельствах» выступил заместитель руководителя ФАС России Тимофей Нижегородцев. Открывая мероприятие, он отметил дискуссионность вопроса насколько защита интеллектуальных прав способствует инновациям и не препятствует развитию конкуренции: «И то, и другое является благом. Но вопрос заключается в том, насколько эти блага соотносимы и находятся в балансе между собой, насколько они находятся в развитии и удовлетворяют общественные интересы».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её участники обсудили вопросы поиска баланса между защитой прав интеллектуальной собственности и применением норм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часто говорят, что защита интеллектуальных прав является залогом развития инновационной экономики и, если мы хоть как-то вмешиваемся в спор на тему интеллектуальных прав, то мы в принципе создаём условия для препятствования её развитию,</w:t>
      </w:r>
      <w:r>
        <w:t xml:space="preserve"> - заявил Тимофей Нижегородцев. – </w:t>
      </w:r>
      <w:r>
        <w:rPr>
          <w:i/>
        </w:rPr>
        <w:t xml:space="preserve">При этом международные организации, которые заняты в защите интеллектуальных прав, прямо говорят о том, что конкурентное право должно помогать ограничивать интеллектуальные права для обеспечения развития конкуренции, а также для увеличения доступа к инновациям и к стимулированию их роста».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Иванов, директор Института права и развития ВШЭ-Сколково, Директор Международного центра конкурентного права и политики БРИКС отметил:</w:t>
      </w:r>
      <w:r>
        <w:rPr>
          <w:i/>
        </w:rPr>
        <w:t xml:space="preserve"> «Есть консенсусное мнение, что интеллектуальная собственность, как любое лекарство, имеет своё «терапевтическое окно». Оно не лечит, пока доза слишком маленькая, но начинает вредить и становится ядом и убивает, когда доза становится слишком большой. Количество охраны интеллектуальной собственности тоже может быть избыточным. Законодательство о защите конкуренции как раз направлено на стимулирование инноваций. То есть, мы берём «один ингредиент» - защиту интеллектуальной собственности, «другой ингредиент» – защиту конкуренции, смешиваем их и получаем реально работающий механизм».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