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конкурса «Точка роста» для студентов  и магистрантов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объявляет о завершении Шестого Всероссийского конкурса «Точка роста» для студентов и магистрантов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конкурс проходил в новом формате: для участников увеличилось количество этапов, их стало два – антимонопольный диктант и   эссе. Сократилось количество тем и время для написания эссе.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цель проведения конкурса – дать возможность студентам и магистрантам выразить свою гражданскую позицию, погрузиться в вопросы современного антимонопольного регулирования, попытаться найти свое решение актуальных вопросов современной экономики и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первый этап конкурса – антимонопольный диктант, который представлял собой тестирование на знание законодательства, заявилось более 1 400 студентов и магистрантов из 55 регионов страны. Успешно прошли испытание первого тура не все. Только 684 участника набрали необходимые 15 баллов.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выбор темы и написание эссе условиями конкурса отводился всего месяц. За этот короткий срок участники должны были прислать на суд конкурсной комиссии свою работу, отвечающую всем требованиям положения о конкурсе. Всего таких работ оказалось 315.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предложенных для написания эссе тем предпочтения конкурсантов распределились следующим образом: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Роль малого бизнеса в развитии конкуренции – выбрали 125 участников;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Пандемия нового коронавируса COVID-19 – риски для конкуренции или новые возможности? – 104;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Цифровая экономика – вызовы для антимонопольного регулирования в эпоху четвертой промышленной революции – 39;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Что должно включать в себя регулирование рекламной деятельности в Российской Федерации? – 34;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Основные проблемы и тенденции развития законодательства в сфере ценового (тарифного) регулирования в Российской Федерации – 13.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Предложенные темы отражают проблемы и задачи современной экономики и конкурентного права, основные направления деятельности ФАС России, определяют ведущие тренды жизни общества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Итак, победителями VI Всероссийского конкурса «Точка роста» для студентов и магистрантов стали.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номинации «Роль малого бизнеса в развитии конкуренции»: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</w:t>
      </w:r>
      <w:r>
        <w:rPr>
          <w:b/>
        </w:rPr>
        <w:t xml:space="preserve">Кайсинов Артур Аланович</w:t>
      </w:r>
      <w:r>
        <w:t xml:space="preserve">, г. Владикавказ;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– </w:t>
      </w:r>
      <w:r>
        <w:rPr>
          <w:b/>
        </w:rPr>
        <w:t xml:space="preserve">Степанов Максим Владиславович</w:t>
      </w:r>
      <w:r>
        <w:t xml:space="preserve">, г. Чебоксары, Чувашская Республика и </w:t>
      </w:r>
      <w:r>
        <w:rPr>
          <w:b/>
        </w:rPr>
        <w:t xml:space="preserve">Колесникова Даяна Андреевна</w:t>
      </w:r>
      <w:r>
        <w:t xml:space="preserve">, г. Красноярск;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– </w:t>
      </w:r>
      <w:r>
        <w:rPr>
          <w:b/>
        </w:rPr>
        <w:t xml:space="preserve">Мальцев Вадим Олегович</w:t>
      </w:r>
      <w:r>
        <w:t xml:space="preserve">, г. Красноярск.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номинации «Пандемия нового коронавируса COVID-19 – риски для конкуренции или новые возможности?»: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</w:t>
      </w:r>
      <w:r>
        <w:rPr>
          <w:b/>
        </w:rPr>
        <w:t xml:space="preserve">Агандеева Ирина Викторовна</w:t>
      </w:r>
      <w:r>
        <w:t xml:space="preserve">, г. Санкт-Петербург;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– </w:t>
      </w:r>
      <w:r>
        <w:rPr>
          <w:b/>
        </w:rPr>
        <w:t xml:space="preserve">Киселева Анна Константиновна</w:t>
      </w:r>
      <w:r>
        <w:t xml:space="preserve">, г. Санкт-Петербург;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– </w:t>
      </w:r>
      <w:r>
        <w:rPr>
          <w:b/>
        </w:rPr>
        <w:t xml:space="preserve">Романенко Ксения Валерьевна</w:t>
      </w:r>
      <w:r>
        <w:t xml:space="preserve">, г. Симферополь.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номинации «Цифровая экономика – вызовы для антимонопольного регулирования в эпоху четвертой промышленной революции»: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</w:t>
      </w:r>
      <w:r>
        <w:rPr>
          <w:b/>
        </w:rPr>
        <w:t xml:space="preserve">Егорова Любовь Артуровна</w:t>
      </w:r>
      <w:r>
        <w:t xml:space="preserve">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– </w:t>
      </w:r>
      <w:r>
        <w:rPr>
          <w:b/>
        </w:rPr>
        <w:t xml:space="preserve">Галкина Анастасия Максимовна</w:t>
      </w:r>
      <w:r>
        <w:t xml:space="preserve">, г. Москва и </w:t>
      </w:r>
      <w:r>
        <w:rPr>
          <w:b/>
        </w:rPr>
        <w:t xml:space="preserve">Рыков Евгений Олегович</w:t>
      </w:r>
      <w:r>
        <w:t xml:space="preserve">, г. Орел;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– </w:t>
      </w:r>
      <w:r>
        <w:rPr>
          <w:b/>
        </w:rPr>
        <w:t xml:space="preserve">Клорикян Мариам Самвеловна</w:t>
      </w:r>
      <w:r>
        <w:t xml:space="preserve">, г. Санкт-Петербург и </w:t>
      </w:r>
      <w:r>
        <w:rPr>
          <w:b/>
        </w:rPr>
        <w:t xml:space="preserve">Аветисян Мария Ваграмовна</w:t>
      </w:r>
      <w:r>
        <w:t xml:space="preserve">, г. Москва.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номинации «Что должно включать в себя регулирование рекламной деятельности в Российской Федерации?»: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</w:t>
      </w:r>
      <w:r>
        <w:rPr>
          <w:b/>
        </w:rPr>
        <w:t xml:space="preserve">Иванов Владислав Максимович</w:t>
      </w:r>
      <w:r>
        <w:t xml:space="preserve">, г. Москва;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– </w:t>
      </w:r>
      <w:r>
        <w:rPr>
          <w:b/>
        </w:rPr>
        <w:t xml:space="preserve">Бадашин Максим Сергеевич</w:t>
      </w:r>
      <w:r>
        <w:t xml:space="preserve">, г. Ульяновск и </w:t>
      </w:r>
      <w:r>
        <w:rPr>
          <w:b/>
        </w:rPr>
        <w:t xml:space="preserve">Мотина Александра Сергеевна</w:t>
      </w:r>
      <w:r>
        <w:t xml:space="preserve">, г. Оренбург;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– </w:t>
      </w:r>
      <w:r>
        <w:rPr>
          <w:b/>
        </w:rPr>
        <w:t xml:space="preserve">Попова Юлия Денисовна</w:t>
      </w:r>
      <w:r>
        <w:t xml:space="preserve">, г. Ставрополь и </w:t>
      </w:r>
      <w:r>
        <w:rPr>
          <w:b/>
        </w:rPr>
        <w:t xml:space="preserve">Семенова Александра Сергеевна</w:t>
      </w:r>
      <w:r>
        <w:t xml:space="preserve">, г. Иваново.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номинации «Основные проблемы и тенденции развития законодательства в сфере ценового (тарифного) регулирования в Российской Федерации»: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</w:t>
      </w:r>
      <w:r>
        <w:rPr>
          <w:b/>
        </w:rPr>
        <w:t xml:space="preserve">Рудкевич Яна Александровна</w:t>
      </w:r>
      <w:r>
        <w:t xml:space="preserve">, г. Красноярск;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– студенты НИУ ВШЭ (г. Москва) </w:t>
      </w:r>
      <w:r>
        <w:rPr>
          <w:b/>
        </w:rPr>
        <w:t xml:space="preserve">Казакова Анастасия Витальевна</w:t>
      </w:r>
      <w:r>
        <w:t xml:space="preserve"> и </w:t>
      </w:r>
      <w:r>
        <w:rPr>
          <w:b/>
        </w:rPr>
        <w:t xml:space="preserve">Березовская София Юрьевна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– </w:t>
      </w:r>
      <w:r>
        <w:rPr>
          <w:b/>
        </w:rPr>
        <w:t xml:space="preserve">Огородникова Алёна Константиновна</w:t>
      </w:r>
      <w:r>
        <w:t xml:space="preserve">, г. Красноярск.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в этом году был присужден отдельный приз «Конкуренция и моральная философия» за работу в данной номинации </w:t>
      </w:r>
      <w:r>
        <w:rPr>
          <w:b/>
        </w:rPr>
        <w:t xml:space="preserve">Рыбиной Алёне Сергеевне</w:t>
      </w:r>
      <w:r>
        <w:t xml:space="preserve"> из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благодарит преподавателя Сибирского федерального университета Козлову Светлану Александровну за то, что впервые за историю конкурса сразу четверо студентов одного преподавателя стали финалистами!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положением конкурса все 22 победителя получат в электронном виде Дипломы, а 22 преподавателя, чьи учащиеся направили более 10 работ на Конкурс или стали его победителями, – Благодарственные письма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вручит победителям и призерам конкурса памятные призы и приглашение пройти практику в ФАС России и ее территориальных органах.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поздравляем всех призеров Конкурса с победой и желаем дальнейших успехов в учебе, интересных и ярких событий, новых побед и успешного профессионального самоопределения.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церемонии награждения победителей будет дополнительно размещена на официальном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Конкурса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