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сделка СИБУР/ТАИФ будет возможна при исполнении ряда обязательных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2021,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Заключение этой сделки при выполнении всех условий предписания ведомства позволит усилить позиции России на мировом рынке нефтепродуктов и нефтехимии при полном удовлетворении интересов внутреннего 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удовлетворила ходатайство ПАО «СИБУР Холдинг» о приобретении 100% голосующих акций АО «ТАИФ», выдав компании предписание о выполнении ряда обязательных условий.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«СИБУР Холдинг» должен будет обеспечить производимыми товарами потребности внутреннего рынка, в том числе, в качестве сырья.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компания сможет перерабатывать сжиженный углеводородный газ (СУГ) только частично. Не переработанный СУГ используется как топливо, в том числе для нужд ЖКХ, к примеру, для отопления. Ограничение необходимо, чтобы для удовлетворения потребностей внутреннего рынка оставался достаточный объем СУГ до переработки, используемого в качестве топлива.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компания обязана будет осуществлять закупки и реализовывать производимые товары, на конкурентных условиях с использованием прозрачных биржевых и/или внебиржевых ценовых индикаторов, сложившихся в зоне активного потребления или производства соответствующих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до 31 декабря 2021 года компании предписано разработать и представить на рассмотрение в ФАС России проект торговой политики, в которой будет описана реализация каждого производимого компанией на территории страны товара, на рынках которых ПАО «СИБУР Холдинг» занимает доминирующее положение. Также в торговой политике будет закреплен ряд положений, гарантирующих защиту прав потенциальных контрагентов ПАО «СИБУР Холдинг».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компании запрещено ущемлять права своих контрагентов при заключении договоров на поставку производимых товаров. В частности, компания не сможет устанавливать для сторонних хозсубъектов дискриминационные условия по сравнению со своими аффилированными лицами, а также навязывать контрагентам невыгодные, экономически или технологически не обоснованные и прямо не предусмотренные НПА условия. Речь идет о договорах, заключаемых на территории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ПАО «СИБУР Холдинг» не вправе отказываться от заключения договоров поставки на территории страны без экономических или технологических причин, если есть возможность производства или поставки товаров в рамках таких договоров. Также ПАО «СИБУР Холдинг» должно реализовывать продукцию по прямым долгосрочным контрактам, с учетом возможности эффективной доставки товара для потребителя.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Предполагается, что заключение указанной сделки при выполнении всех условий предписания антимонопольной службы позволит усилить позиции России в качестве несырьевого экспортера при полном удовлетворении интересов внутреннего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