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«Райффайзенбанка» ненадлежащей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2021,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не сообщал клиентам сведения об ограничениях для получения кэшбэка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по жалобам граждан возбудила дело в отношении АО «Райффайзенбанк» из-за рекламы дебетовой кэшбэк-карты, которая вводила клиентов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рекламных роликах, распространявшихся в январе-феврале 2021 года в эфире телеканалов «Первый», «ТНТ», «СТС» сообщалось: «Кэшбэк на всё; 1,5% рублями, а не баллами; бесплатное обслуживание».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отсутствовала полная информация об ограничениях на получение кэшбэка в ряде торговых предприятий. Таким образом, клиентам банка не начисляли кэшбэк за некоторые операции.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информация является существенной при использовании дебетовой карты, поскольку её отсутствие искажает смысл утверждения «Кэшбэк на всё». Подобная реклама вводит потребителей в заблуждение и противоречит положениям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дебетовой карты ненадлежащей и выдала АО «Райффайзенбанк» предписание о прекращении нарушения. Дело об административном правонарушении готовится к возбуждению. Согласно КоАП РФ штраф может составить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 части 7 статьи 5 Федерального закона «О рекламе»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