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Руководитель ФАС России представил Правительству РФ ежегодный Доклад о состоянии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2021, 11:36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докладе проанализированы основные итоги и достижения в сфере государственной конкурентной политики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2020 году в существующих условиях главным инструментом развития экономики стала цифровизация.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сообщил, что интенсивное развитие информационных технологий, помимо положительных моментов, может привести в том числе и к созданию антиконкурентных практик. В связи с этим ФАС России разработала и внесла в Правительство РФ «пятый антимонопольный пакет». Его принятие позволит создать правовые механизмы противодействия злоупотреблениям рыночной властью и обеспечить эффективность мер антимонопольного контроля в условиях современных «цифровых»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Максим Шаскольский обратил внимание, что 2020 год стал заключительным для реализации Национального плана развития конкуренции и «дорожной карты» по развитию конкуренции в отраслях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Пристальное внимание было уделено сфере здравоохранения. За счет совершенствования нормативной базы созданы новые механизмы синхронизации цен в Российской Федерации на жизненно необходимые и важнейшие лекарственные препараты с ценами в референтных для России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проведения обязательной перерегистрации в 2019 и 2020 годах всех зарегистрированных цен на жизненно необходимые и важнейшие лекарственные препараты ФАС России пересмотрела более 14 000 цен, из которых более 7000 снижены в среднем на 35%. Экономия для граждан и бюджета в результате снижения цен составит не менее 35 млрд рублей ежегодно.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из основных направлений деятельности ФАС России в 2020 году стал контроль за тарифами естественных монополий. Особое внимание уделялось тарифам в области обращения с твердыми коммунальными отходами. Усилиями ФАС России в 2020 году тарифы по обращению с ТКО были снижены во многих субъектах Российской Федерации. Например, в Краснодарском крае снижение составило 28%, в Псковской области - 16%, в Красноярском крае - 14 %, в Нижегородской области - 5 %.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сфере электроэнергетики ФАС России шестой год подряд осуществляет регулирование тарифов по принципу «инфляция минус», что позволяет сокращать нагрузку на потребителей услуг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Шаскольский отметил, что установление экономически обоснованных регулируемых тарифов является инструментом повышения эффективности, снижения издержек хозяйствующих субъектов и стимулирования конкуренции, а также способствует привлечению инвестиций в регулируемые сферы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заметных достижений является отмена национального и внутрисетевого роуминга, за счет чего устранена необоснованная разница в тарифах на услуги сотовой связи при поездках по Российской Федерации. В результате экономия для потребителей составила порядка 6 млрд рублей и одновременно вырос объем оказываемых услуг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конкуренции необходимы дальнейшие качественные изменения. Завершая свой доклад, глава ФАС подчеркнул, что заложенные в новом Национальном плане развития конкуренции на период 2021-2025 годы мероприятия направлены на решение основных системных и отраслевых проблем, создание благоприятных условий для ведения частного бизнеса, устранение административных барьеров и искажений конкурентной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государственной политики по развитию конкуренции – одно из ключевых направлений и факторов экономического роста. Государственная политика по развитию конкуренции не может рассматриваться как отдельный процесс в отрыве от комплекса мероприятий, реализуемых в рамках стратегии развития экономики страны в целом, а также национальных целей развития Российской Федерации»</w:t>
      </w:r>
      <w:r>
        <w:t xml:space="preserve">, - сказал Максим Шаскольский.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