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Банк России: Использование роботов на бирже в период повышенного спроса на нефтепродукты может привести к дискриминации участников рынка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2021,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Регуляторы* отмечают, что такая практика является недобросовестной</w:t>
      </w:r>
      <w:r>
        <w:br/>
      </w:r>
      <w:r>
        <w:t xml:space="preserve">
 </w:t>
      </w:r>
      <w:r>
        <w:br/>
      </w:r>
      <w:r>
        <w:t xml:space="preserve">
На Биржевом комитете ФАС России регуляторы обратили внимание участников торгов на недобросовестную практику использования специальных автоматизированных систем торговли - роботов при подаче заявок на покупку/продажу нефтепродуктов на биржевом спот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Регуляторы выявили, что в период повышенного спроса наблюдаются действия отдельных участников с признаками использования роботов.</w:t>
      </w:r>
      <w:r>
        <w:br/>
      </w:r>
      <w:r>
        <w:t xml:space="preserve">
 </w:t>
      </w:r>
      <w:r>
        <w:br/>
      </w:r>
      <w:r>
        <w:t xml:space="preserve">
Такие роботы позволяют участникам торгов действовать системно по схожему алгоритму с заранее заданными критериями и поведенческим механизмом: заявки на покупку биржевого товара подаются на Биржу с увеличением цены и в короткий временной отрезок, по отношению к заявке, ранее поданной другим участником торгов. Таким образом, используемая модель торгового поведения позволяет заявкам, поданным с применением роботов, оставаться всегда лучшими в очереди заявок на покупку, что дает преимущественное положение для целей приобретения товара на биржевом рынке нефтепродуктов.</w:t>
      </w:r>
      <w:r>
        <w:br/>
      </w:r>
      <w:r>
        <w:t xml:space="preserve">
 </w:t>
      </w:r>
      <w:r>
        <w:br/>
      </w:r>
      <w:r>
        <w:t xml:space="preserve">
Регуляторы отмечают, что само использование роботов не противоречит законодательству Российской Федерации. Однако одним из принципов работы является обеспечение недискриминационного и равного доступа юридических лиц и индивидуальных предпринимателей к возможности совершения сделок с товарами на бирже. Выявленные обстоятельства использования роботов создают дискриминационные условия для добросовестных участников процесса.</w:t>
      </w:r>
      <w:r>
        <w:br/>
      </w:r>
      <w:r>
        <w:t xml:space="preserve">
 </w:t>
      </w:r>
      <w:r>
        <w:br/>
      </w:r>
      <w:r>
        <w:t xml:space="preserve">
ФАС России и Банк России рекомендуют организаторам торговли на рынке нефтепродуктов предусмотреть во внутренних документах процедуры, которые позволят выявлять использование роботов, а также разработать перечень мер, направленных на дестимулирование использования недобросовестных практик. Регуляторы отмечают, что такие меры могут включать предупреждения, штрафы, приостановку доступа и отключение от торгов с раскрытием информации о недобросовестном поведении.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этого вопроса АО «СПбМТСБ» выдало предупреждение ряду участников торгов**.</w:t>
      </w:r>
      <w:r>
        <w:br/>
      </w:r>
      <w:r>
        <w:br/>
      </w:r>
      <w:r>
        <w:rPr>
          <w:i/>
        </w:rPr>
        <w:t xml:space="preserve">Справка:</w:t>
      </w:r>
      <w:r>
        <w:br/>
      </w:r>
      <w:r>
        <w:br/>
      </w:r>
      <w:r>
        <w:rPr>
          <w:i/>
        </w:rPr>
        <w:t xml:space="preserve">
*ФАС России, Банк России.</w:t>
      </w:r>
      <w:r>
        <w:br/>
      </w:r>
      <w:r>
        <w:rPr>
          <w:i/>
        </w:rPr>
        <w:t xml:space="preserve">
 </w:t>
      </w:r>
      <w:r>
        <w:br/>
      </w:r>
      <w:r>
        <w:rPr>
          <w:i/>
        </w:rPr>
        <w:t xml:space="preserve">
** На заседании Совета Секции «Нефтепродукты» АО «СПбМТСБ» обсужден вопрос о применении мер дисциплинарного воздействия в отношении участников торгов, которые использовали роботов для подачи заявок в торговую систему. Членами Совета Секции «Нефтепродукты» было принято единогласное решение о рекомендации АО «СПбМТСБ» в части применения мер дисциплинарного воздействия. В число таких участников на первоначальном этапе вошли ООО «ИнвестНефтеТрейд», ООО «КД-Ойл», ООО «АТИ», ООО «ТК ЮгНефтеПродукт», ООО «АльфаТэк».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