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о картельном сговоре на рынке автомобильных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2021, 15:18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торгов по ремонту дорог проходила в рамках нацпроекта «Безопасные и качественные автомобильные дороги</w:t>
      </w:r>
      <w:r>
        <w:t xml:space="preserve">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2018 по 2019 гг. при участии в закупочных процедурах по ремонту автодорог в Нижегородской и Челябинской областях организации заключили три антиконкурентных соглашения, в ходе которых отказывались от снижения цены на торгах либо от участия в конкурентных процедурах в пользу заранее определенного участника. Общая сумма контрактов составила 3,8 млрд рублей.</w:t>
      </w:r>
      <w:r>
        <w:br/>
      </w:r>
      <w:r>
        <w:br/>
      </w:r>
      <w:r>
        <w:t xml:space="preserve">
Отметим, что часть торгов по ремонту автомобильных дорог проходила в рамках нацпроекта «Безопасные и качественные автомобильные дороги».</w:t>
      </w:r>
      <w:r>
        <w:br/>
      </w:r>
      <w:r>
        <w:br/>
      </w:r>
      <w:r>
        <w:t xml:space="preserve">
По факту нарушения Закона о защите конкуренции в отношении компаний возбуждены административные дела, в рамках которых наложены штрафы [2]. Суммарный размер штрафов составил 398 млн рублей.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По признакам нарушения п. 2 ч. 1 ст. 11 Закона о защите конкуренции</w:t>
      </w:r>
      <w:r>
        <w:br/>
      </w:r>
      <w:r>
        <w:rPr>
          <w:i/>
        </w:rPr>
        <w:t xml:space="preserve">
[2] В соответствии со ст. 14.32 КоАП.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