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Утверждена первая «дорожная карта» развития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2021, 16:37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30 ноября 2021 года документ утвердило Правительство Московской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на согласование «дорожные карты» от всех субъектов РФ, многие из них уже согласованы ведомством. К 1 января 2022 года «дорожные карты» должны быть подписаны главами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ключевых задач - развитие малого и среднего предпринимательства, обеспечение эффективного и прозрачного управления государственной и муниципальной собственностью, развитие конкуренции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«дорожными картами»* предусмотрены мероприятия по оказанию поддержки частным дошкольным образовательным организациям. Так, к концу 2025 года доля детей, получающих образование в таких организациях, должна составить не менее 1,6 % от общего числа детей, получающих дошкольное образование. Также предполагается, что к этой дате получать общее образование в частных организациях смогут не менее 1% учеников и не менее 7,5% - среднее профессиональное образование**.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будет способствовать развитию конкуренции на рынке дополнительного образования детей, и, как следствие, повышению качества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«дорожными картами» предусмотрены мероприятия, направленные на увеличение числа частных медицинских организаций минимум до 10%. При этом доля субъектов малого и среднего предпринимательства на рынках розничной торговли лекарственными препаратами должна составить не менее 80%, медицинскими изделиями - не менее 70%***.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Качественная проработка мероприятий «дорожных карт» с учетом особенностей экономики каждого региона будет способствовать созданию благоприятных условий для ведения бизнеса, устранению административных барьеров и развитию конкурентной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В соответствии с распоряжением Правительства об утверждении Национального плана развития конкуренции в Российской Федерации на 2021 – 2025 годы».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«Дорожные карты» разработаны в тесном взаимодействии между территориальными управлениями ФАС России и региональными органами власти. Они являются программными документами, определяющими стратегию развития экономики в регионах страны на ближайшие 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**Для обеспечения возможности бесплатного обучения в любой организации, в том числе частной, регионы планируют внедрить систему персонифицированного финансирования дополнительного образования детей. С помощью этой системы родители смогут сами выбирать программу для оплаты за счет средств сертификатов.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***Получение гражданами бесплатной медицинской помощи в частных организациях обеспечивается через их участие в реализации территориальных программ обязательного медицинского страхования. Этот механизм уже реализуется практически во всех регионах страны.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