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отказала компаниям «Актуальные инвестиции» и «Новоросцемент» в приобретении «Атакайцемент»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2021, 17:12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ведомства, осуществление сделки может привести к ограничению конкуренции на рынке цемента</w:t>
      </w:r>
      <w:r>
        <w:br/>
      </w:r>
      <w:r>
        <w:br/>
      </w:r>
      <w:r>
        <w:t xml:space="preserve">
АО «Актуальные инвестиции», ОАО «Новоросцемент» (ОАО «НЦ») и хозяйствующие субъекты, входящие с ними в одну группу лиц, являются одними из крупнейших производителей цемента Южного и Северо-Кавказского федеральных округов.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состояния конкуренции на рынке общестроительного цемента показал, что в случае совершения заявленной в ходатайстве сделки совокупная доля группы лиц «Актуальные инвестиции», «НЦ» и «Атакайцемент» на рынке цемента в этих федеральных округах превысит 50% как при расчете по показателю реализации, так и по показателю производственных мощностей.</w:t>
      </w:r>
      <w:r>
        <w:br/>
      </w:r>
      <w:r>
        <w:br/>
      </w:r>
      <w:r>
        <w:t xml:space="preserve">
По мнению ФАС России, совершение сделки приведет к получению компаниями «Актуальные инвестиции» и «НЦ» возможности в одностороннем порядке воздействовать на общие условия обращения цемента в Южном и Северо-Кавказском федеральных округах, что при определенных условиях может привести к ограничению конкуренции на соответствующем товарном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