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ФАС: сделка «ГлаЦем»/«Квинта» возможна при исполнении принципиальных условий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24 февраля 2022, 13:21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Антимонопольная служба удовлетворила ходатайство производителя ООО «ГлаЦем» о приобретении 99% голосующих акций АО «Квинта»*, выдав компании предписание</w:t>
      </w:r>
      <w:r>
        <w:br/>
      </w:r>
      <w:r>
        <w:br/>
      </w:r>
      <w:r>
        <w:t xml:space="preserve">
Анализ состояния конкуренции на рынке общестроительного цемента показал, что в случае совершения заявленной в ходатайстве сделки совокупная доля группы лиц компаний «ГлаЦем» и «Квинта» в Северо-Западном федеральном округе превысит 35%. По оценке ФАС России, сделка приведет к возникновению у «ГлаЦем» доминирующего положения на рынке общестроительного цемента в географических границах округа.</w:t>
      </w:r>
      <w:r>
        <w:br/>
      </w:r>
      <w:r>
        <w:br/>
      </w:r>
      <w:r>
        <w:t xml:space="preserve">
В целях обеспечения конкуренции на этом рынке ведомство согласовало ходатайство только при условии полного исполнения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предписания
        </w:t>
        </w:r>
      </w:hyperlink>
      <w:r>
        <w:t xml:space="preserve"> антимонопольной службы, предусматривающего ряд ограничений.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 «ГлаЦем» и его правопреемникам необходимо обеспечить исполнение всех действующих контрактов и сохранение технологической возможности производства. Помимо этого, компания обязана ежеквартально информировать ФАС об основных показателях деятельности. В случае, если цены на продукцию увеличатся более чем на 5% за месяц, «ГлаЦем» должна будет письменно обосновать такой рост.</w:t>
      </w:r>
      <w:r>
        <w:br/>
      </w:r>
      <w:r>
        <w:br/>
      </w:r>
      <w:r>
        <w:t xml:space="preserve">
В течение четырех месяцев после совершения сделки компании необходимо разработать, утвердить и представить в ФАС торгово-сбытовую и ценовую политики, следовать им и предупреждать ведомство о внесении изменений. Также компании запрещено ущемлять права своих контрагентов при заключении договоров на поставку производимых товаров.</w:t>
      </w:r>
      <w:r>
        <w:br/>
      </w:r>
      <w:r>
        <w:br/>
      </w:r>
      <w:r>
        <w:t xml:space="preserve">
Ведомство отмечает, что решение об удовлетворении ходатайства действует только в совокупности с предписанием.</w:t>
      </w:r>
      <w:r>
        <w:br/>
      </w:r>
      <w:r>
        <w:br/>
      </w:r>
      <w:r>
        <w:t xml:space="preserve">
Предписание ФАС будет действовать в течение пяти лет с даты совершения сделки. Неисполнение его условий влечет административный штраф** и может стать основанием для признания сделки недействительной*** по иску антимонопольного органа.</w:t>
      </w:r>
      <w:r>
        <w:br/>
      </w:r>
      <w:r>
        <w:br/>
      </w:r>
      <w:r>
        <w:t xml:space="preserve">
Напомним, что в настоящий момент в целях обеспечения конкуренции на рынке общестроительного цемента территории Северо-Западного федерального округа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
          в отношении группы лиц АО «ЕВРОЦЕМЕНТ ГРУП»
        </w:t>
        </w:r>
      </w:hyperlink>
      <w:r>
        <w:t xml:space="preserve"> действует аналогичное предписание ФАС России.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br.fas.gov.ru/ca/upravlenie-kontrolya-promyshlennosti/c849a333-6880-423d-a449-9a6d40d4012e/" TargetMode="External" Id="rId8"/>
  <Relationship Type="http://schemas.openxmlformats.org/officeDocument/2006/relationships/hyperlink" Target="https://t.me/fasrussia/1910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