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27 февраля вступил в силу закон, снижающий административную нагрузку на субъекты МСП в сфере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2022, 11:55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Поправки внесены в Закон о защите конкуренции и Закон о торговле*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Законом повышены вдвое пороговые значения суммарной стоимости активов для сделок экономической концентрации, при которых такие сделки подпадают под антимонопольный контроль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документу, если суммарная стоимость активов лица объекта экономической концентрации и его группы лиц не превышает 800 млн руб., то заключение такой сделки не потребует согласования с антимонопольным ведомством. Ранее пороговое значение составляло 400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Аналогичное увеличение пороговых значений до 800 млн руб. предусмотрено для целей признания допустимыми антиконкурентных "вертикальных" соглашений, а также в части ряда антимонопольных требований, предусмотренных Законом о торговле (в отношении торговых сетей и поставщиков продовольственных товаров)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компании теперь не могут быть признаны доминирующими хозяйствующими субъектами, если их годовая выручка не превышает 800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оценкам ФАС, изменения пороговых значений для хозяйствующих субъектов будут способствовать сокращению бюрократических издержек для малого и среднего бизнеса. При этом все механизмы, повышающие эффективность имеющихся инструментов ФАС по борьбе с картелями, сохранены.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 Федеральный закон № 9719-8 «О внесении изменений в Федеральный закон «О защите конкуренции» и статью 1 Федерального закона «Об основах государственного регулирования торговой деятельности в Российской Федерации».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