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скорректировала Принципы экономического анализа практик ценообразования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2022,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Новый подход закрепляет приоритет внутреннего рынка РФ</w:t>
      </w:r>
      <w:r>
        <w:br/>
      </w:r>
      <w:r>
        <w:br/>
      </w:r>
      <w:r>
        <w:t xml:space="preserve">
В сложившихся условиях доминирующим субъектам при ценообразовании в первую очередь необходимо исходить из интересов отечественного потребителя. На это в рамках выступления в Госдуме РФ обратил внимание руководитель ФАС России Максим Шаскольский. На фоне роста цен на ряде товарных рынков количество проводимых ФАС России расследований увеличилось. В связи с этим Федеральная антимонопольная служба изменила подход к экономическому анализу практик ценообразования на российские товары. Теперь в нем отдается приоритет балансу спроса и предложения на внутреннем рынке, а экспортные котировки в качестве основного аргумента приниматься не могут.</w:t>
      </w:r>
      <w:r>
        <w:br/>
      </w:r>
      <w:r>
        <w:br/>
      </w:r>
      <w:r>
        <w:t xml:space="preserve">
В текущих экономических условиях практики ценообразования доминирующих субъектов, учитывающие индикаторы, сложившиеся на зарубежных рынках, не учитывают экономические возможности внутреннего потребителя. А это может приводить к последствиям, указанным в части 1 статьи 10 Закона о защите конкуренции.</w:t>
      </w:r>
      <w:r>
        <w:br/>
      </w:r>
      <w:r>
        <w:br/>
      </w:r>
      <w:r>
        <w:t xml:space="preserve">
ФАС России напоминает бизнесу о необходимости соблюдать антимонопольное законодательство как на рынках, на которых действуют сами компании, так и на смежных товарных рынках. Отечественным производителям в своей деятельности необходимо, в первую очередь, оценивать ситуацию на внутреннем рынке РФ.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Принципы экономического анализа практик ценообразования были утверждены Президиумом ФАС России в сентября 2014 года. Они устанавливают единые подходы к анализу ценовой политики доминирующих хозсубъектов на предмет их соответствия требованиям Закона о защите конкуренции.</w:t>
      </w:r>
      <w:r>
        <w:br/>
      </w:r>
      <w:r>
        <w:rPr>
          <w:i/>
        </w:rPr>
        <w:t xml:space="preserve">
В соответствии с ч. 1 ст.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