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согласовала первую торговую политику с отказом от нетбэка и привязки к курсам иностранных валют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апреля 2022,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касается реализации битума, который применяется при строительстве автодорог и зданий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марта 2022 года служба согласовала торговую политику ООО «Газпромнефть - Битумные материалы». Она стала первым документом, где компания принимает на себя обязательства соблюдать приоритетность поставок на внутренний рынок, отказывается при формировании цен от зарубежных индикаторов и курсов иностранных валют.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организация при определении стоимости битума будет использовать российские биржевые и внебиржевые индикаторы.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общество обеспечит недискриминационные условия для участников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отмечает, что сформированная стоимость битума по российским индикаторам может помочь госзаказчикам при определении начальной максимальной цены контрактов в рамках закупок на строительство дорог и социально значимых зданий (школы, больницы).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считает, что это позволит не допустить необоснованного повышения цен в сфере строительства.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Сейчас на рассмотрении в ведомстве находятся торговые политики таких компаний как ООО «РН-Битум» и ООО «Газпром нефтехим Салават». Другие участники рынка в ближайшее время направят в адрес службы проекты торговых политик.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