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система защиты интеллектуальной собственности нуждается в пересмотре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2022,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 считает, что действующие нормы антимонопольного законодательства в сфере интеллектуальной собственности сдерживают развитие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заявили заместители руководителя ФАС России Карина Таукенова и Тимофей Нижегородцев на специальном круглом столе в рамках XXIII Ясинской (Апрельской) международной научной конференции по проблемам развития экономики и общества, организованном Международным центром конкурентного права и политики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Спикеры вместе с научным сообществом и представителями крупнейших российских маркетплейсов обсуждали, как соблюсти баланс интересов правообладателей и пользователей объектов интеллектуальных прав. Прежде всего это касается параллельного импорта, антимонопольных иммунитетов и принудительного лицензирования.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Карина Таукенова отметила, что результаты интеллектуальной деятельности правообладателей, с одной стороны, формируют новые рынки и отрасли экономики, способствуют технологическому прогрессу. В то же время, такие результаты интеллектуальной деятельности могут быть использованы правообладателями не только в целях инновационного развития, но и в целях монополизации товарных рынков и ограничения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подчеркнула, что с каждым годом антимонопольные органы фиксируют рост обращений на ограничивающие конкуренцию действия правообладателей. Но ввиду прямых исключений* не могут быть пресечены нормами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отметили, что защита интеллектуальной собственности в России выстроена гораздо жестче, чем в других странах, и отличается от общей мировой практики, поэтому нуждается в пересмотре. Внося предложения для российского законодательства, регулятор исходит из опыта стран с развитой экономикой. При этом для антимонопольного органа важно соблюсти баланс интересов всех участников – правообладателей, бизнеса и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регулятора, пересмотр статей 10 и 11 Закона о защите конкуренции позволит исключить злоупотребления интеллектуальными правами.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обратил внимание, что в условиях внешнего санкционного давления необходимо перенести акцент с защиты «абсолютных» интересов транснациональных корпораций – правообладателей на обеспечение первоочередных потребностей внутреннего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согласно части 4 статьи 10 Закона о защите конкуренции – требования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[photo_1800]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