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страны ЕАЭС работают над стабилизацией экономической ситуации не только на национальных уровнях, но и на межгосударственном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мая 2022, 12:00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Руководитель ФАС России Максим Шаскольский в ходе совещания руководителей уполномоченных органов государств-членов ЕАЭС и члена Коллегии (Министра) по конкуренции и антимонопольному регулированию ЕЭК рассказал о результатах работы службы в 1 квартале 2022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российского антимонопольного ведомства отметил, что ФАС России в текущем году предприняла комплекс мер по стабилизации ситуации на социально значимых товарных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реализует ряд мер, направленных на снижение административной нагрузки на бизнес. Служба разработала законопроект, направленный на упрощение порядка согласования сделок – документ предполагает введение уведомительного порядка согласования для компаний, суммарная стоимость активов которых составляет от 800 млн до 2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работа по стабилизации экономической ситуации с учетом необходимости сохранения и развития условий конкуренции ведется не только на национальных уровнях в странах Союза, но также принимаются совместные меры в рамках ЕАЭС. В марте 2022 года Совет ЕЭК утвердил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перечень
        </w:t>
        </w:r>
      </w:hyperlink>
      <w:r>
        <w:t xml:space="preserve"> мер по повышению устойчивости экономик государств-членов ЕАЭС.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выступления руководитель ведомства отметил, что ФАС России нацелена на развитие сотрудничества в рамках ЕАЭС и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«Уверен, что активно участвуя в реализации принятых в рамках ЕАЭС мер, антимонопольные органы Союза и Евразийская экономическая комиссия внесут весомый вклад в достижение поставленных целей по стабилизации экономической ситуации, эффективному функционированию рынков на благо граждан наших стран»</w:t>
      </w:r>
      <w:r>
        <w:t xml:space="preserve">, – заявил Максим Шаскольский.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Евразийская экономическая комиссия (ЕЭК) — постоянно действующий наднациональный регулирующий орган Евразийского экономического союза (ЕАЭС). В состав ЕАЭС входят Республика Армения, Республика Беларусь, Республика Казахстан, Кыргызская Республика и Российская Федерация.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[photo_1804]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docs.eaeunion.org/docs/ru-ru/01431501/err_18032022_1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