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внесла в Правительство РФ законопроект о поддержке операторов наружной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2022,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заместитель руководителя ФАС России Карина Таукенова на отчётно-выборной конференции Ассоциации маркетинговой индустрии «Рекламный Совет»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антимонопольной службы отметила,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предлагает
        </w:t>
        </w:r>
      </w:hyperlink>
      <w:r>
        <w:t xml:space="preserve"> скорректировать нормы, касающиеся особенностей договоров на установку и эксплуатацию рекламных конструкций в 2022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их владельцы несут убытки, связанные с массовыми отказами рекламодателей в размещении рекламы на рекламных конструкциях. При этом они продолжают оплачивать установку и эксплуатацию этих конструкций по договорам, заключенным с органами региональной власти и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предложило снизить размер платежей по соответствующим договорам на срок не более одного года, а также продлить срок действия договоров и разрешений на установку и эксплуатацию рекламных конструкций на один год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Карина Таукенова отметила, что антимонопольная служба также готова рассматривать и обсуждать другие предложения бизнес-сообщества о мерах поддержки рекламной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выступления спикер подвела итоги работы ведомства по надзору в сфере рекламы за 2021 год. Антимонопольная служба в прошлом году рассмотрела более 17 тысяч заявлений о несоответствии рекламы законодательству. Лидером по количеству обращений от граждан является спам-реклама. В ближайшее время ведомство и операторы связи запустят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сервис
        </w:t>
        </w:r>
      </w:hyperlink>
      <w:r>
        <w:t xml:space="preserve"> для подачи жалобы на нежелательную рекламу.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Наблюдаются тенденция к снижению количества нарушений неэтичной рекламы*. В 2020 году такие нарушения составили 3% от общего объема, в 2021 году – 1%. Совместная работа с Ассоциацией маркетинговой индустрии «Рекламный Совет» позволит в дальнейшем исключить такого рода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Часть 6 статьи 5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34" TargetMode="External" Id="rId8"/>
  <Relationship Type="http://schemas.openxmlformats.org/officeDocument/2006/relationships/hyperlink" Target="https://fas.gov.ru/news/318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