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штрафа ФАС в отношении РусГидро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2022,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8,9 млн рублей должна заплатить компания за заключение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отклонил кассационную жалобу ПАО «РусГидро» на постановление ведомства о назначении административного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2020 года ФАС России признала компанию РусГидро и  ООО «Стройлайн» нарушившими Закон о защите конкуренции. Компании заключили антиконкурентное соглашение на торгах*. Его целью стало ограничение конкуренции на торговых процедурах для «Стройлайн». Торги проводились на осуществление строительных работ на Саяно-Шушенской ГЭС им. Непорожнего. Компании, не согласившись с решением ФАС России, обжаловали его в судах трех инстанций, однако все они поддержали позицию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наложила на РусГидро штраф** в размере 8 976 710 рублей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  обжаловала постановление ведомства о назначении штрафа в судах трех инстанций. Ранее Арбитражный суд г. Москвы и Девятый арбитражный апелляционный суд также оставили в силе постановление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  <w:r>
        <w:br/>
      </w:r>
      <w:r>
        <w:t xml:space="preserve">
*пункт 1 части 1 статьи 17 Закона о защите конкуренции</w:t>
      </w:r>
      <w:r>
        <w:br/>
      </w:r>
      <w:r>
        <w:t xml:space="preserve">
** Часть 2 статьи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