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подготовленный ФАС законопроект о мерах поддержки операторов наружной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2022, 13:05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в законодательстве позволят направить денежные средства на первостепенные выплаты компаний: заработную плату сотрудников и поддержание безопасности эксплуатации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предложила
        </w:t>
        </w:r>
      </w:hyperlink>
      <w:r>
        <w:t xml:space="preserve"> скорректировать нормы, касающиеся особенностей договоров на установку и эксплуатацию рекламных конструкций в 2022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их владельцы несут убытки, связанные с массовыми отказами рекламодателей в размещении рекламы на рекламных конструкциях. При этом они продолжают оплачивать установку и эксплуатацию этих конструкций по договорам, заключенным с органами региональной власти и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предложило снизить размер платежей по соответствующим договорам на срок не более одного года, а также продлить срок действия договоров и разрешений на установку и эксплуатацию рекламных конструкций на один год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в законодательстве позволят органам региональной власти и местного самоуправления определять случаи, в которых участникам отрасли предоставляется отсрочка очередного платежа за пользование государственными земельными участками для установки и эксплуатации рекламных конструкций.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