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в Москве выявлено два картеля на общую сумму 859,4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июля 2022, 09:15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Их заключение привело к поддержанию цен на торгах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Московское УФАС России установило, что ООО «Спортика» и ООО «Проспортсервис» заключили картельные сговоры* в рамках двух аукционов на право поставки оборудования для спортивных площадок. Компании действовали в интересах друг друга и фактически отказались от конкурентной борьбы в ходе торгов.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одного из аукционов компания «Спортика» заключила госконтракты на общую сумму 320,9 млн рублей. По результатам второго аукциона «Проспортсервис» заключил госконтракты на общую сумму 538,5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Отказ хозсубъектов от конкурентной борьбы привел к поддержанию цен на торгах. В ходе рассмотрения дел о нарушении антимонопольного законодательства компании признали факт заключения картельных соглашений.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установления вины компаниям грозят оборотные штрафы.** Кроме того, Московское УФАС России направило в правоохранительные органы материалы для решения вопроса о возбуждении уголовного дела.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_Справочно: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*п. 2 ч. 1 ст. 11 Закона о защите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 В соответствии с ч. 2 ст. 14.32 КоАП за заключение антиконкурентного соглашения предусмотрен административный штраф в размере до 50% от начальной стоимости торгов для юрлиц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