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напоминает, что хозсубъекты вправе пожаловаться в ведомство на неисполнение ранее выданных предписаний в сфере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2022,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 в очередной раз подтвердил такие полномочия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закупках [1] любой участник закупочной процедуры в случае, если нарушаются его права и законные интересы, вправе обжаловать в антимонопольной службе [2] действия (бездействие) заказчика, комиссии по осуществлению закупок, оператора электронной площадки. Одно из оснований для подачи жалобы – осуществление закупки с нарушением требований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таким нарушениям относится, в том числе, проведение закупки без учета предписания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суды нижестоящих инстанций в своих решениях указывали на то, что у ведомства отсутствуют полномочия по рассмотрению жалоб на неисполнение ранее выданных предписаний.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Арбитражный суд Московского округа подтвердил, что наличие в жалобе указаний на проведение заказчиком закупки с нарушением положений закона [3] является самостоятельным основанием для принятия жалобы к рассмотрению.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также указал, что ФАС России является органом исполнительной власти, наделенным специальными полномочиями контролировать обеспечение равных условий для участников при проведении конкурентных процедур. Ведомство вправе оценивать жалобу участника закупки и делать соответствующий вывод об отнесении/не отнесении обжалуемых действий заказчика к тем нарушениям, которые подлежат обжалованию. Служба также вправе квалифицировать нарушения, допущенные заказчиком при проведении закупки, учитывая при этом доводы рассматриваемой жалобы.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антимонопольная служба напоминает, что за невыполнение в срок предписаний ведомства законодательство предусматривает административные штрафы 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ч. 10 ст. 3 Федерального закона от 18.07.2011 № 223-ФЗ "О закупках товаров, работ, услуг отдельными видами юридических лиц"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в порядке, установленном ст. 18.1 Федерального закона от 26.07.2006 № 135-ФЗ "О защите конкуренции"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[3] Закона о закупках, иных нормативных правовых актов, принятых в его реализацию, положения о закупках при проведения закупочной процедуры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[4] ч. 7.2 ст. 19.5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