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ставки предоставления полувагонов снижены на 28 процентов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связано, в том числе, со снижением цен на металл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с апреля 2022 года проводит еженедельный мониторинг стоимости предоставления вагонов. Он проводится в целях оценки влияния различных факторов на конъюнктуру рынка. На текущий момент мониторинг организован для различных типов вагонов и охватывает крупнейших операторов при поставках на экспорт и внутренний рынок.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данными мониторинга с начала года ставка предоставления в наиболее востребованном сегменте – полувагонах снизилась на 28% (с 0,43 руб./ткм до 0,31 руб./ткм) и на сегодняшний день продолжает снижаться. Кроме того, отдельные грузоотправители снизили ставки предоставления полувагонов на спотовом рынке в 2 раза. В результате ставка на рынке в отдельных случаях ниже 1000 руб./ваг./сут., что более чем в два раза ниже ставок в начале 2022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такое снижение ставок связано, в том числе, со снижением цен на металл.  Это влияет на стоимость железнодорожных колес и крупного вагонного литья (боковые рамы, надрессорные балки и прочее), а также других деталей для производства и ремонта вагонов.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совместно с федеральными органами исполнительной власти реализует комплекс мер для стабилизации ценовой ситуации на рынке металлопродукции.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информации, полученной в ходе мониторинга цен на металл, установлено, что текущие цены в стране на базовые виды ниже аналогичного периода 2021 года более чем на 40 %. Мониторинг регулярно проводится службой в целях недопущения необоснованного роста цен на металлургическую продукцию и оперативного принятия мер реагирования при выявлении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по результатам анализа рынка предоставления вагонов сделала вывод о стабильности ценовых условий для остальных типов подвижного состава (цистерны для перевозки нефти и нефтепродуктов, зерновозы, минераловозы).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в настоящее время ситуация на рынке предоставления железнодорожного подвижного состава характеризуется стабильным ценообразованием. Кроме того, созданы предпосылки для снижения стоимости таких услуг.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