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рассказала о трендах в изменениях законодательства на совещании руководителей антимонопольных органов ЕАЭС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2022, 19:00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Позицию российского антимонопольного ведомства представил статс-секретарь – заместитель руководителя ФАС России Сергей Пузыревский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замруководителя службы, важным новшеством в антимонопольном регулировании стало обеспечение возможности ограничения патентных прав правообладателя. Это касается случаев, когда ограничение необходимо для защиты жизни и здоровья граждан. Правительство РФ впервые выдало принудительную лицензию на производство зарубежного противовирусного препарата «Ремдесивир», используемого при лечении COVID-19. Это решение не только обеспечило российских граждан жизненно важным препаратом, но и снизило его стоимость практически в 5 раз, существенно сократив расходы бюджета.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ФАС России разработала целый ряд нормативных актов для поддержки предпринимателей и снижения административной нагрузки: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расширены антимонопольные «иммунитеты» в отношении малого и среднего бизнеса. Теперь компания не может быть признана доминирующим хозяйствующим субъектом, если ее годовая выручка не превышает 800 млн рублей;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упрощен контроль сделок экономической концентрации. Если суммарная стоимость активов компании составляет от 800 млн рублей до 2 млрд рублей, сделка может быть совершена без согласования с ФАС, но с последующим уведомлением службы;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изменился порядок предоставления преференций предпринимателям. Теперь вместо согласования с ФАС органам власти в ряде случаев достаточно уведомить службу о предоставлении преференций;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предусмотрена возможность уплаты 50% от размера штрафа за заключение антиконкурентных соглашений. Это касается случаев, когда оплата происходит в течение 20 дней со дня вынесения постановления и компания является субъектом МСП.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[photo_1819]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Сергей Пузыревский отметил, что ФАС России в своей нормотворческой деятельности старается снижать административную нагрузку на бизнес, унифицировать обязательные требования антимонопольного контроля при сделках экономической концентрации и предупреждать нарушения антимонопольного законодательства. Представители антимонопольных органов стран Евразийского экономического союза в свою очередь отметили, что их государства стремятся к гармонизации конкурентной политики в границах ЕАЭС и готовы реализовывать лучшие проконкурентные практики других членов организации.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