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за 5 лет на метод «альтернативной котельной» перешли 33 муниципалитета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2022, 16:00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рассказал замруководителя службы Виталий Королев в рамках Российской энергетической недели на специализированной сессии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Применение метода «альтернативной котельной» предусматривает дерегулирование сферы теплоснабжения – все договорные отношения строятся на цене, определенной соглашением сторон. Устанавливается только предельная – так называемая цена «альтернативной котельной», выше которой установить стоимость нельзя.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замглавы ведомства отметил, что в проекте Стратегии строительной отрасли и ЖКХ до 2030 года определен набор инструментов, необходимый для реализации долгосрочных целей в этой сфере экономики. К ним относятся инвестиционные программы, которые являются плановыми программными документами модернизации объектов коммунальной инфраструктуры. Объемы выполнения инвестиционных программ за 2021 год составили в водоснабжении – 68%, водоотведении – 74%, теплоснабжении – 86%.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сообщил, что за счет Фонда национального благосостояния организации могут взять долгосрочные кредиты на проекты по модернизации коммунальной инфраструктуры. Средства на реализацию таких проектов выделяются Фондом содействия реформированию ЖКХ в виде займов под 3% годовых сроком на 25 лет. Также расширено количество участников, которые могут получить займы на строительство и реконструкцию жилищно-коммунального хозяйства. Соответствующие постановления Правительства РФ приняты в 2022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Еще одним из механизмов обновления инфраструктуры ЖКХ являются долгосрочные индексы платы граждан. На период 2022-2024 гг. три региона воспользовались этим инструментом и привлекли дополнительные инвестиции: Республика Татарстан в водоснабжение и водоотведение 2,24 млрд рублей, Тюменская область в теплоснабжение, водоснабжение и водоотведение 7,46 млрд рублей, Московская область в теплоснабжение – 11,7 млрд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Источник фото: Российская энергетическая неделя-2022 (Руслан Шамуков)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