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Официальная позиция ФАС России о маркировке рекламы в «Telegram»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публикациями в СМИ ведомство поясняет, что реклама в «Telegram» не требует маркировки в том случае, когда ресурс используется в качестве «мессенджера», для обмена конкретными пользователями сообщениями.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если «Telegram» используется для донесения информации широкому кругу пользователей посредством предлагаемых сервисных возможностей (через Telegram-каналы), то такая реклама подпадает под действие Закона о рекламе* и требует маркировки.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*статья 18.1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