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поставщиков оборудования для строительства железнодорожной инфраструктуры на 2,8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Закупки проводились, в том числе, в целях реализации проекта развития железнодорожной инфраструктуры Байкало-Амурской и Транссибирской магистралей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«БалтЭнергоКомплект-XXI ВЕК», ООО «КС Комплект», ООО «Электротехимпорт», ООО «Балтийская Инжиниринговая Компания» и ООО «ЖелДорКомплект-СПБ»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и реализовали картельное соглашение с целью поддержания цен при проведении 33 торгов на поставку инженерного, технологического и иного оборудования и товаров на объекты строительства железнодорожной инфраструктуры ОАО «РЖД» и иных заказчиков. Закупки проводились, в том числе, в целях реализации проекта развития железнодорожной инфраструктуры Байкало-Амурской и Транссибирской магистралей.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(максимальных) цен контрактов составила 2,8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Доказательства по делу антимонопольная служба получила, в том числе, путем проведения в 2021 году внеплановых выездных проверок и анализа информации, полученной в результате взаимодействия с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оборотные штрафы в соответствии с КоАП РФ**. Кроме того,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