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раскрыло картель на торгах на сумму более 2,5 млрд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2022,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Заключение картельного соглашения привело к поддержанию цен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ООО «Наследие» и ООО «Наследие-Реновация» нарушившими антимонопольное законодательство*. Компании вступили в картельный сговор с целью поддержания цен на двух торгах. Они проводились на право выполнения работ по проектированию, реконструкции и вводу в эксплуатацию объектов капитального строительства в Волгоградской и Тверской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(максимальных) цен двух контрактов составила 2 554 510 857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организации в ходе торгов действовали в интересах друг друга. В частности, они сознательно отказались от конкурентной борьбы, а также осуществляли совместную подготовку к торгам с использованием единой инфраструктуры. Это привело к ограничению конкуренции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оборотные штрафы в соответствии с КоАП РФ**. Кроме того, материалы антимонопольного дела направлены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