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предложению ФАС России «Детский мир» продлил добровольные обязательства об ограничении наценок на весь 2023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2023,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Наценки на 40 наиболее востребованных детских товаров ограничены на уровне не более 20%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об отдельных позициях таких товаров, как детское питание (молочная продукция, каши, пюре); подгузники, пеленки, слюнявчики и салфетки; бутылочки, кружки и поильники; пустышки и прорезыватели; косметика для купания, ухода за кожей и за полостью рта ребенка; средства для стирки и мытья посуды.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группы компаний, представленная к ограничению наценок продукция производится преимущественно в России, в связи с чем пользуется постоянным спросом у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«Детский Мир» гарантирует, что такой размер наценок на конкретные позиции указанных категорий товаров будет действовать во всех розничных магазинах сети на территории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решение о добровольном ограничении наценок на некоторые группы товаров для поддержки населения «Детский Мир»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принял
        </w:t>
        </w:r>
      </w:hyperlink>
      <w:r>
        <w:t xml:space="preserve"> по предложению ФАС России в марте 2022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8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