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дорожном картеле на 9,1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средств на выполнение работ по строительству и содержанию автодорог была выделена в рамках нацпроекта «Безопасные качественные дороги»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 решение ФАС России в отношении ООО «Стройдорсервис» и ООО «Хабаровскдорснаб».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апреле 2022 года антимонопольная служба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компании нарушившими Закон о защите конкуренции*. Организации заключили антиконкурентное соглашение в рамках участия в торговых процедурах на выполнение работ по строительству и содержанию автомобильных дорог в Приморском и Хабаровском краях.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вступили в антиконкурентный сговор и, действуя согласованно, поддержали цены на торгах с совокупной начальной ценой 9 143 151 806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были наложены штрафы на сумму 229 994 640 рублей**.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Федерального закона от 26.07.2006 № 135-ФЗ «О защите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91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