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торговую политику «Сибура»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2023,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была разработать её по предписанию ведомства при согласовании сделки «Сибур» и «ТАИФ»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торговой политике «Сибура» закреплены положения, которые гарантируют защиту прав потенциальных контрагентов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не устанавливать дискриминационные условия по отношению к сторонним компаниям и не навязывать потребителям невыгодные с экономической или технологической точки зрения условия.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предписанию ведомства компания обязана обеспечивать производимыми товарами прежде всего потребности внутреннего рынка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торговой политике предусмотрены способы реализации нефтегазохимических товаров с использованием биржевых механизмов или внебиржевых ценовых индикаторов, а также по долгосрочным контрактам.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Торговая политика является эффективным инструментом защиты компаний от возможных рисков нарушений антимонопольного законодательства и способствует открытости доминирующих компаний для контрагентов.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