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выявила признаки картеля в сфере капремонта многоквартирных домов </w:t>
      </w:r>
    </w:p>
    <w:p xmlns:w="http://schemas.openxmlformats.org/wordprocessingml/2006/main" xmlns:pkg="http://schemas.microsoft.com/office/2006/xmlPackage" xmlns:str="http://exslt.org/strings" xmlns:fn="http://www.w3.org/2005/xpath-functions">
      <w:r>
        <w:t xml:space="preserve">03 апреля 2023, 10:00</w:t>
      </w:r>
    </w:p>
    <w:p xmlns:w="http://schemas.openxmlformats.org/wordprocessingml/2006/main" xmlns:pkg="http://schemas.microsoft.com/office/2006/xmlPackage" xmlns:str="http://exslt.org/strings" xmlns:fn="http://www.w3.org/2005/xpath-functions">
      <w:pPr>
        <w:jc w:val="both"/>
      </w:pPr>
      <w:r>
        <w:rPr>
          <w:i/>
        </w:rPr>
        <w:t xml:space="preserve">Компании поддерживали цены на торгах в Брянской области</w:t>
      </w:r>
    </w:p>
    <w:p xmlns:w="http://schemas.openxmlformats.org/wordprocessingml/2006/main" xmlns:pkg="http://schemas.microsoft.com/office/2006/xmlPackage" xmlns:str="http://exslt.org/strings" xmlns:fn="http://www.w3.org/2005/xpath-functions">
      <w:pPr>
        <w:jc w:val="both"/>
      </w:pPr>
      <w:r>
        <w:t xml:space="preserve">ФАС России возбудила дело о нарушении антимонопольного законодательства [1] в отношении 40 организаций и предпринимателей [2]. </w:t>
      </w:r>
    </w:p>
    <w:p xmlns:w="http://schemas.openxmlformats.org/wordprocessingml/2006/main" xmlns:pkg="http://schemas.microsoft.com/office/2006/xmlPackage" xmlns:str="http://exslt.org/strings" xmlns:fn="http://www.w3.org/2005/xpath-functions">
      <w:pPr>
        <w:jc w:val="both"/>
      </w:pPr>
      <w:r>
        <w:t xml:space="preserve">Служба подозревает их в сговоре на торгах, проводимых Фондом капитального ремонта многоквартирных домов Брянской области.  </w:t>
      </w:r>
    </w:p>
    <w:p xmlns:w="http://schemas.openxmlformats.org/wordprocessingml/2006/main" xmlns:pkg="http://schemas.microsoft.com/office/2006/xmlPackage" xmlns:str="http://exslt.org/strings" xmlns:fn="http://www.w3.org/2005/xpath-functions">
      <w:pPr>
        <w:jc w:val="both"/>
      </w:pPr>
      <w:r>
        <w:t xml:space="preserve">По предварительной оценке ведомства общая сумма заключенных контрактов может превышать 700 млн рублей.</w:t>
      </w:r>
    </w:p>
    <w:p xmlns:w="http://schemas.openxmlformats.org/wordprocessingml/2006/main" xmlns:pkg="http://schemas.microsoft.com/office/2006/xmlPackage" xmlns:str="http://exslt.org/strings" xmlns:fn="http://www.w3.org/2005/xpath-functions">
      <w:pPr>
        <w:jc w:val="both"/>
      </w:pPr>
      <w:r>
        <w:t xml:space="preserve">Основанием для возбуждения дела послужили в том числе поступившие от правоохранительных органов материалы уголовного дела [3]. </w:t>
      </w:r>
    </w:p>
    <w:p xmlns:w="http://schemas.openxmlformats.org/wordprocessingml/2006/main" xmlns:pkg="http://schemas.microsoft.com/office/2006/xmlPackage" xmlns:str="http://exslt.org/strings" xmlns:fn="http://www.w3.org/2005/xpath-functions">
      <w:pPr>
        <w:jc w:val="both"/>
      </w:pPr>
      <w:r>
        <w:t xml:space="preserve">В случае установления вины организациям грозит штраф в соответствии с КоАП РФ [4]. </w:t>
      </w:r>
    </w:p>
    <w:p xmlns:w="http://schemas.openxmlformats.org/wordprocessingml/2006/main" xmlns:pkg="http://schemas.microsoft.com/office/2006/xmlPackage" xmlns:str="http://exslt.org/strings" xmlns:fn="http://www.w3.org/2005/xpath-functions">
      <w:pPr>
        <w:jc w:val="both"/>
      </w:pPr>
      <w:r>
        <w:rPr>
          <w:i/>
        </w:rPr>
        <w:t xml:space="preserve">[1] нарушение п. 2 ч. 1 ст. 11 Закона о защите конкуренции</w:t>
      </w:r>
      <w:r>
        <w:br/>
      </w:r>
      <w:r>
        <w:rPr>
          <w:i/>
        </w:rPr>
        <w:t xml:space="preserve">
[2] ООО «Дубровкасельхозмонтаж», ООО «Лик-Строймаркет», ООО «Техинформ-Строй», ООО «Электро-Строй Дело», ООО «Строй Альянс Сервис», ООО «Партнер-Плюс», ООО «КурортСтрой», ООО «Капитал-Строй», ООО «Тримстрой», ООО «Спецдорстрой», ООО «Даймонд», ООО «Молоток», ООО «ГолдСтрой», ООО «Технострой», ООО «Дельта Плюс», ООО «РОС», ООО «Терра Строй», ООО «ДОМ», ООО «Коммунальные сети», АО «БрянскГазСтрой», ООО «Оливин», ООО «Строй Центр», ООО «Оникс», ООО «СтройСитиГрупп», ООО «ЭлементСтрой32», ООО «СтройБрянск», ООО «Стройком», ООО «Тик-Строй», ООО «Балтийская кровельная компания», ООО ПК «Аквасофт», ООО «Фортуна», ООО СК «Победа», ООО «Инженерные системы», ООО «Модерн Строй», ООО «ПК АВ «Ойл» и ряд индивидуальных предпринимателей</w:t>
      </w:r>
      <w:r>
        <w:br/>
      </w:r>
      <w:r>
        <w:rPr>
          <w:i/>
        </w:rPr>
        <w:t xml:space="preserve">
[3] п. «а», «в» ч. 2 ст. 178 УК РФ</w:t>
      </w:r>
      <w:r>
        <w:br/>
      </w:r>
      <w:r>
        <w:rPr>
          <w:i/>
        </w:rPr>
        <w:t xml:space="preserve">
[4] ст.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