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«Пятерочку»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нарушение Закона о рекламе в рекламном телеролике об акции торговой сети «Пенсионерам скидки»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граждане пожаловались в ФАС России на то, что реклама магазина торговой сети «Пятерочка» (рекламодатель ООО «Агроторг»), распространяемая в эфире «Первого канала» и «России-1», вводит их в заблуждение.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информация в видеоролике дает потребителям основания полагать, что акция распространяется на все товары в магазинах торговой сети. Однако скидка действовала только в отношении отдельных категорий товаров. Полная информация об условиях акции сообщалась на официальном сайте ретейлера и в дисклеймерах(1) к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текст дисклеймеров был выполнен мелким шрифтом и демонстрировался в рекламном видеоролике в течение короткого времени.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существенная для потребителей информация обо всех условиях акции присутствовала в рекламе формально и не могла быть ими воспринята в полной мере из-за мелкого шрифта и краткого времени показа.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запрещает распространение рекламы, в которой из-за отсутствия части существенной информации о рекламируемом товаре, условиях его приобретения или использования искажается смысл доносимых сведений, а потребители вводятся в заблуждение(2).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антимонопольная служба возбудила в отношении ООО «Агроторг» (торговая сеть «Пятерочка») дело по признакам нарушения рекламного законодательства, а затем дело об административном правонарушении. По итогам рассмотрения дел реклама была признана ненадлежащей, рекламодателю ООО «Агроторг» выдано предписание о прекращении нарушения законодательства о рекламе. Компании назначен штраф в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(1)Дисклеймер - письменное уведомление об отказе от ответственности за последствия, опубликованное в рекламном ролике или рекламном посте.</w:t>
      </w:r>
      <w:r>
        <w:br/>
      </w:r>
      <w:r>
        <w:rPr>
          <w:i/>
        </w:rPr>
        <w:t xml:space="preserve">
(2)Часть 7 статьи 5 Федерального закона от 13 марта 2006 г. №38-ФЗ «О рекламе».</w:t>
      </w:r>
      <w:r>
        <w:br/>
      </w:r>
      <w:r>
        <w:rPr>
          <w:i/>
        </w:rPr>
        <w:t xml:space="preserve">
(3)Часть 6 статьи 38 Федерального закона от 13 марта 2006 г. №38-ФЗ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