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Три судебные инстанции согласились с решением ФАС в деле о дорожном картеле на 9,1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2023,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Картельный сговор реализован на торгах, проведенных в том числе в рамках реализации национального проекта «Безопасные качественные дороги»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Московского округа поддержал решение Арбитражного суда города Москвы и постановление Девятого арбитражного апелляционного суда, подтвердив правомерность решения службы в отношении ООО «СтройДорСервис» и ООО «Хабаровскдорснаб».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апреле 2022 года антимонопольная служба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признала
        </w:t>
        </w:r>
      </w:hyperlink>
      <w:r>
        <w:t xml:space="preserve"> организации нарушившими Закон о защите конкуренции*. Компании вступили в картель с целью поддержать цены на торгах по строительству и содержанию автомобильных дорог в Приморском и Хабаровском краях.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Сумма заключенных контрактов в результате противоправной деятельности составила 9 143 151 806 рублей.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заключение и реализацию картельного соглашения на организации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наложен
        </w:t>
        </w:r>
      </w:hyperlink>
      <w:r>
        <w:t xml:space="preserve"> совокупный штраф в размере 229 994 640 рублей**.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913" TargetMode="External" Id="rId8"/>
  <Relationship Type="http://schemas.openxmlformats.org/officeDocument/2006/relationships/hyperlink" Target="https://fas.gov.ru/news/3211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