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Росбанка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нарушения в рекламной кампании финансовой услуги банка</w:t>
      </w:r>
      <w:r>
        <w:br/>
      </w:r>
      <w:r>
        <w:t xml:space="preserve">
 </w:t>
      </w:r>
      <w:r>
        <w:br/>
      </w:r>
      <w:r>
        <w:t xml:space="preserve">
Ранее в ФАС России поступила жалоба гражданина на рекламу кредитной карты ПАО Росбанк на роллерном дисплее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ней крупным шрифтом указывалась привлекательная для потребителя информация об отсутствии ежемесячного платежа по кредиту. Однако данные об иных условиях, влияющих на стоимость кредита и возможность получения льготного периода (сумма, срок, условие о заключении договора страхования и пр.), размещались в поясняющей сноске трудным для восприятия шрифтом, а реклама транслировалась в течение короткого времени. Таким образом, потребители получали неполную информацию обо всех условиях,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оценит рекламу банка на предмет нарушения законодательства. В случае установления вины ПАО Росбанк грозит ответственность в соответствии с Законом о рекламе*.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1)Часть 3 статьи 28, часть 7 статьи 5 Федерального закона от 13.03.2006 № 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