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подвела итоги антикартельной деятельности за первое полугодие 2023 года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июля 2023,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установила наиболее картелизированные рынки – дорожного хозяйства, охранных услуг, фармацевтики, строительства и социального питания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I полугодии 2023 года ФАС России возбудила 139 дел о нарушении антимонопольного законодательства по признакам заключения ограничивающих конкуренцию соглашений, незаконной координации экономической деятельности и осуществления согласованных действий. Служба вынесла 100 решений о нарушении антимонопольного законодательства.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предварительным подсчётам общая сумма незаконного извлеченного дохода участниками антиконкурентных соглашений составила 42 млрд рублей. Нарушения установлены ФАС России в 46 регионах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мониторинга и контроля реализации национальных проектов ведомство возбудило 9 дел с общей суммой начальных максимальных цен контрактов (НМЦК) 5,6 млрд рублей. Принято 18 решений о нарушении антимонопольного законодательства с общей суммой НМЦК 36,9 млрд рублей.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Нарушения выявлены в рамках реализации национальных проектов «Безопасные качественные дороги», «Жильё и городская среда», «Здравоохранение», «Демография», «Образование», «Культура» и «Экология».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