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АО «Уральская сталь»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2023,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конца 2022 года рост цен на стальную заготовку составил более 40%</w:t>
      </w:r>
      <w:r>
        <w:br/>
      </w:r>
      <w:r>
        <w:t xml:space="preserve">
  </w:t>
      </w:r>
      <w:r>
        <w:br/>
      </w:r>
      <w:r>
        <w:t xml:space="preserve">
По мнению ведомства, в действиях компании в 2023 году содержатся признаки нарушения антимонопольного законодательства. Они выразились в установлении и поддержании монопольно высокой цены на два вида заготовки, необходимых для производства цельнокатаных колес. Речь идет о круглой непрерывно-литой колесной заготовке марки 2 и марки Т, используемых для производства железнодорожных цельнокатаных колес.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анализа состояния конкуренции служба установила, что компания «Уральская сталь» занимает доминирующее положение на рынке.  Анализ показателей хозяйственной деятельности организации показал, что с конца 2022 года рост цен на заготовку составил более 40% при незначительном изменении себестоимости.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возбудило дело о нарушении антимонопольного законодательства* в отношении компании «Уральская сталь».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организации грозит штраф в соответствии с КоАП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пункта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