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расторжение договора между заказчиком и поставщиком в судебном порядке не влечет автоматического включения подрядчика в РНП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2023,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этого должны быть установлены существенные нарушения исполнителем условий договора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напоминает, что сведения о поставщике подлежат включению в РНП, если договор между заказчиком и подрядчиком был расторгнут в судебном порядке в связи с нарушениями существенных условий заключенного между ними договора*.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применение мер ответственности возможно только при наличии выводов о существенности допущенных нарушений. Суд должен указать на нарушение подрядчиком существенных условий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Иная позиция может привести к ущемлению прав и законных интересов исполнителя по договору. Это позволит по умолчанию применять меры ответственности на основании расторжения договора вне зависимости от причин.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и Девятый арбитражный апелляционный суд подтвердили позицию ФАС России**.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ст. 5 Федерального закона от 18.07.2011 № 223-ФЗ</w:t>
      </w:r>
      <w:r>
        <w:br/>
      </w:r>
      <w:r>
        <w:rPr>
          <w:i/>
        </w:rPr>
        <w:t xml:space="preserve">
**дело № А40-96409/23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