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возбудила дело в отношении Альфа-Банка по признакам нарушения рекламного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декабря 2023, 13:00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рекламном ролике банк размещал всю существенную информацию в поясняющих сносках мелким шрифтом в течение короткого времени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ФАС России поступили обращения граждан с претензиями к рекламе кредитной карты АО «Альфа-Банк».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ролике крупным шрифтом указывалась информация о возможности годового беспроцентного использования карты. Кроме того, в рекламе озвучивалось и крупным шрифтом сообщалось о предоставлении кэшбэка 100% за первую покупку. При этом существенная информация об условиях получения беспроцентного периода, максимальной сумме кэшбека, а также минимальной сумме первой покупки для его получения сообщалась в поясняющих сносках трудным для восприятия способом в течение короткого времени.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форма и время размещения текста в поясняющих сносках не позволяли потребителям получить всю необходимую для осознанного выбора информацию.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ФАС России, если существенные условия предоставления финансовой услуги формально присутствуют в рекламе, но не могут быть восприняты потребителем - они не доведены до него надлежащим образом. Таким образом, реклама вводит потребителя в заблуждение относительно предлагаемой услуги.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 рекламе утверждалось, что «Альфа-Банк – лучший мобильный банк», а далее следовала поясняющая сноска: «по версии Markswebb». Однако она приводилась трудным для восприятия способом в течение короткого времени и не могла рассматриваться как объективный критерий сравнения рекламируемого продукта с продуктами других банков.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оценит ролик АО «Альфа-Банк» на предмет нарушения рекламного законодательства*. В случае установления вины организации грозит штраф.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в течение месяца это уже третье дело, которое служба возбудила в адрес АО «Альфа-Банк» из-за введения потребителей в заблуждение и умалчивания о существенных условиях предоставления одного из продуктов в рекламе.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  <w:r>
        <w:br/>
      </w:r>
      <w:r>
        <w:rPr>
          <w:i/>
        </w:rPr>
        <w:t xml:space="preserve">
*Часть 6 статьи 38 Закона о рекламе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