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5 угольных компаний утвердили принципы ценообразования на базе отечественных индикаторов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2023,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 этим организациям относятся АО «СУЭК», АО «Стройсервис», АО «Кузбасская топливная компания», АО «ТАЛТЭК», АО «Русский уголь»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Биржевой комитет ФАС России рекомендовал компаниям разработать и согласовать с ведомством торгово-сбытовые политики (ТСП).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ведомство пришло к выводу о соответствии документов этих 5 компаний антимонопольному законодательству. Они предусматривают приоритет поставок на внутренний рынок и использование при ценообразовании на уголь российских индикаторов.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Торгово-сбытовые политики будут размещены на сайтах компаний. Проекты документов остальных организаций сейчас дорабатываются в соответствии с рекомендациями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Биржевой комитет ФАС России рекомендовал компаниям проработать вопрос продажи угля через биржу на определенный месяц поставки для увеличения ликвидности и привлечения новых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состоянию на 5 декабря 2023 года уголь через биржевую торговлю реализован в объеме 208 320 тонн. Первые торги состоялись в феврале этого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