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ненадлежащей рекламу дебетовой карты АО «Альфа-Банк»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2024,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Банк не указывал в рекламе существенные условия переводов и платежей, чем вводил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обратились граждане с жалобами на рекламу дебетовой карты АО «Альфа-Банк», распространявшуюся на рекламных конструкциях, на экране на станции в Московском метрополитене, а также в эфире радиостанций и федеральных телеканалов.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предоставлялась привлекательная для потребителей информация о том, что все переводы и платежи по дебетовой карте можно осуществлять бесплатно. При этом существенные условия об ограничениях такой опции не были указаны.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потребители получали неполную информацию о всех условиях осуществления переводов и платежей, определяющих их стоимость.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дебетовой карты ненадлежащей.* Антимонопольное ведомство выдало АО «Альфа-Банк» предписание о прекращении нарушения Закона о рекламе. Банк должен исполнить предписание за 15 дней со дня получения и отчитаться об этом в службу.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нарушение законодательства о рекламе банку грозит штраф в соответствии с КоАП РФ.**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*Часть 7 статьи 5 Федерального закона от 13.03.2006 № 38-ФЗ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**Пункт 2.4 статьи 19.5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