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АО «Альфа-Банк» по признакам нарушения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2024,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рекламе финансовой услуги банка содержались недостоверные сведения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службу поступили обращения граждан о признаках нарушения в рекламе финансовых услуг АО «Альфа-Банк», которая транслировалась в эфире федеральных телеканалов в сентябре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крупным шрифтом указывалась информация об отмене комиссии за эквайринг. При этом существенная информация об ограничениях такого тарифа сообщалась в поясняющих сносках трудным для восприятия способом в течение короткого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получали неполную информацию о всех условиях финансовой услуги, определяющих ее стоимость.</w:t>
      </w:r>
      <w:r>
        <w:br/>
      </w:r>
      <w:r>
        <w:t xml:space="preserve">
 </w:t>
      </w:r>
      <w:r>
        <w:br/>
      </w:r>
      <w:r>
        <w:t xml:space="preserve">
Служба возбудила дело в отношении Альфа-Банка по признакам нарушения Закона о рекламе.* В случае установления нарушения банк будет привлечен к административной ответственности в соответствии с КоАП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*Часть 7 статьи 5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