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разработала меры по оптимизации расходов электросетевых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2024,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документа размещен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портале
        </w:t>
        </w:r>
      </w:hyperlink>
      <w:r>
        <w:rPr>
          <w:i/>
        </w:rPr>
        <w:t xml:space="preserve"> проектов нормативных правовых актов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ведёт работу по внедрению системы «эталонного» тарифного регулирования в электросетевом комплексе. Полный переход на механизм «эталонного» формирования тарифов должен произойти с 1 июля 2026 года. Сейчас ведомство работает над формированием нормативной правовой базы.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при одинаковых условиях затраты на обслуживание электросетевого оборудования территориальных сетевых организаций (ТСО) в одном регионе могут отличаться до 4 раз. В соответствии с поручением Правительства, служба ведет работу по унификации подходов к определению удельных затрат в электросетевом комплексе. Это позволит создать необходимые условия для оптимизации расходов менее эффективных организаций и обеспечить равные условия осуществления регулируемой деятельности естественных монополий в рамках одного региона.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например, в Иркутской области постоянные расходы на обеспечение работы небольшой ТСО на 225% выше, чем у крупнейшей региональной сетевой организации. При том, что маленькая сетевая организация обслуживает всего 1278 километров сетей, а крупнейшая 45742 километра.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Ульяновской области в аналогичных условиях эта разница в затратах составляет 184%, а в Камчатском крае - 291%.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Разработанный ФАС России проект постановления Правительства РФ ограничит предельную величину удельных операционных затрат на уровне крупнейшей ТСО в регионе. Эта мера направлена на устранение тарифного дисбаланса до введения «эталонов».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провела анализ тарифных решений на 2024 год в отношении крупнейших ТСО в рамках административных границ субъектов РФ и сформировала максимальный уровень операционных расходов на содержание электросетевого оборудования. Этим уровнем ограничат операционные расходы каждой сетевой организации в конкретном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определяет двухлетний переходный период.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инициатива не приведет к дополнительной нагрузке на потребителей, а наоборот направлена на сдерживание затрат на услуги по передаче электрической энергии.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regulation.gov.ru/p/14570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