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подвела итоги антикартельной деятельности за 2023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2024, 10:40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Ограничивающие конкуренцию соглашения чаще всего встречались в сфере строительства и дорожного комплекса, жилищно-коммунального хозяйства и организации социального питания, а также при поставке лекарственных препаратов и медицинских изделий</w:t>
      </w:r>
      <w:r>
        <w:br/>
      </w:r>
      <w:r>
        <w:t xml:space="preserve">
 </w:t>
      </w:r>
      <w:r>
        <w:br/>
      </w:r>
      <w:r>
        <w:t xml:space="preserve">
Служба в 2023 году возбудила 287 дел об ограничивающих конкуренцию соглашениях и координации экономической деятельности. В том числе принято 224 решения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в 2023 году нарушения антимонопольного законодательства на торгах (картели на торгах и сговор с заказчиком) выявлены на территории 72 регионов. В качестве ответчиков по делам ведомство привлекло 307 хозяйствующих субъектов и 24 заказчика. Соглашения на торгах охватили 2911 закупок с совокупной суммой НМЦК 174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части контроля реализации национальных проектов ФАС России в 2023 году возбудила 24 дела с общей суммой НМЦК 10,8 млрд рублей. Вынесено 32 решения по делам о нарушении антимонопольного законодательства с общей суммой НМЦК 42,4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нарушения антимонопольного законодательства установлены при реализации национальных проектов «Жилье и городская среда», «Безопасные качественные дороги», «Здравоохранение», «Демография», «Образование», «Культура» и «Экология».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2023 году по материалам антимонопольных органов возбуждено 39 уголовных дел. Из них 13 дел по признакам заключения картеля (ст. 178 УК РФ) и 26 по иным составам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в 2023 году по штрафам, наложенным центральным аппаратом ФАС России за антиконкурентные соглашения, в федеральный бюджет поступило 1 082 936 037 рубля.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