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ПАО «Сбербанк» по признакам нарушения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распространял ненадлежащую рекламу финансовой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гражданина на рекламу «Сбербанка», которая распространялась на рекламных конструкциях в Москве. В ней крупным шрифтом указывалась привлекательная для потребителя информация о процентной ставке по вкладу 12% годовых.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данные об иных условиях, влияющих на получение дохода по вкладу, размещались в поясняющей сноске трудным для восприятия шрифтом.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обо всех условиях, определяющих сумму доходов вкладчиков.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ПАО «Сбербанк» по признакам нарушения Закона о рекламе.* В случае установления нарушения банк будет привлечен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мае 2023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оштрафовала банк
        </w:t>
        </w:r>
      </w:hyperlink>
      <w:r>
        <w:t xml:space="preserve"> за ненадлежащую рекламу кредита.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2 часть 2 статьи 28, 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5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