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первое дело за нарушение новых требований к рекламе кредита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признаки нарушения в рекламе АО «Почта Банк»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закону
        </w:t>
        </w:r>
      </w:hyperlink>
      <w:r>
        <w:t xml:space="preserve">, вступившему в силу 23 октября 2023 года, информация о диапазоне значений полной стоимости кредита должна быть указана до упоминания о процентных ставках, а шрифт должен быть не меньше шрифта, которым указана ставка.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гражданина на рекламу «Почта Банк», которая распространялась на экранах в общественном транспорте Москвы и Московской области. В ней крупным шрифтом указывалась привлекательная для потребителя информация о процентной ставке по кредиту от 4%.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данные об иных условиях, влияющих на стоимость кредита (сумма, срок, условие о заключении договора страхования и пр.), размещались в поясняющей сноске трудным для восприятия шрифтом.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потребители получали неполную информацию обо всех условиях, определяющих стоимость кредита.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в отношении АО «Почта Банк» по признакам нарушения Закона о рекламе.* В случае установления нарушения банк будет привлечен к административной ответственности в соответствии с КоАП РФ.**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признала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ненадлежащей
        </w:t>
        </w:r>
      </w:hyperlink>
      <w:r>
        <w:t xml:space="preserve"> рекламу опции Почта Банка «Гарантированная ставка» и оштрафовала организацию на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*Часть 3 статьи 28 Федерального закона «О рекламе»</w:t>
      </w:r>
      <w:r>
        <w:br/>
      </w:r>
      <w:r>
        <w:t xml:space="preserve">
**Часть 1 статьи 14.3 «Кодекса Российской Федерации об административных правонарушениях» от 30.12.2001 № 195-ФЗ.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44" TargetMode="External" Id="rId8"/>
  <Relationship Type="http://schemas.openxmlformats.org/officeDocument/2006/relationships/hyperlink" Target="https://fas.gov.ru/news/328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